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送样前必须预先通知我方任何与委托测试服务有关的实际的或潜在的风险，如因</w:t>
      </w:r>
      <w:r>
        <w:rPr>
          <w:rFonts w:ascii="宋体" w:eastAsia="宋体" w:hAnsi="宋体" w:cs="宋体" w:hint="eastAsia"/>
          <w:b/>
          <w:color w:val="FF0000"/>
          <w:sz w:val="18"/>
          <w:szCs w:val="21"/>
        </w:rPr>
        <w:t>委托方隐瞒样品的危害而造成检测人员或仪器出现问题一切后果由委托方负责</w:t>
      </w:r>
      <w:r>
        <w:rPr>
          <w:rFonts w:ascii="宋体" w:eastAsia="宋体" w:hAnsi="宋体" w:cs="宋体" w:hint="eastAsia"/>
          <w:bCs/>
          <w:sz w:val="18"/>
          <w:szCs w:val="21"/>
        </w:rPr>
        <w:t>。</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eastAsia="宋体" w:hAnsi="宋体" w:cs="宋体" w:hint="eastAsia"/>
          <w:b/>
          <w:color w:val="FF0000"/>
          <w:sz w:val="18"/>
          <w:szCs w:val="21"/>
        </w:rPr>
        <w:t>未填写测试要求、测试要求不明确或者测试要求错误导致的测试问题，需由委托方自行承担，如需复测需重新收费</w:t>
      </w:r>
      <w:r>
        <w:rPr>
          <w:rFonts w:ascii="宋体" w:eastAsia="宋体" w:hAnsi="宋体" w:cs="宋体" w:hint="eastAsia"/>
          <w:bCs/>
          <w:sz w:val="18"/>
          <w:szCs w:val="21"/>
        </w:rPr>
        <w:t>。</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委托方如对检测结果有异议，须在</w:t>
      </w:r>
      <w:r>
        <w:rPr>
          <w:rFonts w:ascii="宋体" w:eastAsia="宋体" w:hAnsi="宋体" w:cs="宋体" w:hint="eastAsia"/>
          <w:b/>
          <w:bCs/>
          <w:color w:val="FF0000"/>
          <w:sz w:val="18"/>
          <w:szCs w:val="21"/>
        </w:rPr>
        <w:t>结果发送</w:t>
      </w:r>
      <w:r>
        <w:rPr>
          <w:rFonts w:ascii="宋体" w:eastAsia="宋体" w:hAnsi="宋体" w:cs="宋体" w:hint="eastAsia"/>
          <w:b/>
          <w:color w:val="FF0000"/>
          <w:sz w:val="18"/>
          <w:szCs w:val="21"/>
        </w:rPr>
        <w:t>5天内</w:t>
      </w:r>
      <w:r>
        <w:rPr>
          <w:rFonts w:ascii="宋体" w:eastAsia="宋体" w:hAnsi="宋体" w:cs="宋体" w:hint="eastAsia"/>
          <w:bCs/>
          <w:sz w:val="18"/>
          <w:szCs w:val="21"/>
        </w:rPr>
        <w:t>与我方工作人员进行沟通说明，</w:t>
      </w:r>
      <w:r>
        <w:rPr>
          <w:rFonts w:ascii="宋体" w:eastAsia="宋体" w:hAnsi="宋体" w:cs="宋体" w:hint="eastAsia"/>
          <w:b/>
          <w:bCs/>
          <w:color w:val="FF0000"/>
          <w:sz w:val="18"/>
          <w:szCs w:val="21"/>
        </w:rPr>
        <w:t>超过5天则默认对检测结果无异议</w:t>
      </w:r>
      <w:r>
        <w:rPr>
          <w:rFonts w:ascii="宋体" w:eastAsia="宋体" w:hAnsi="宋体" w:cs="宋体" w:hint="eastAsia"/>
          <w:bCs/>
          <w:sz w:val="18"/>
          <w:szCs w:val="21"/>
        </w:rPr>
        <w:t>。</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复测说明：如对于测试结果有异议，需要复检的，</w:t>
      </w:r>
      <w:r>
        <w:rPr>
          <w:rFonts w:ascii="宋体" w:eastAsia="宋体" w:hAnsi="宋体" w:cs="宋体" w:hint="eastAsia"/>
          <w:b/>
          <w:color w:val="FF0000"/>
          <w:sz w:val="18"/>
          <w:szCs w:val="21"/>
        </w:rPr>
        <w:t>仅限对原样品按原测试方法进行复检。如更换条件及方法按新样品计费</w:t>
      </w:r>
      <w:r>
        <w:rPr>
          <w:rFonts w:ascii="宋体" w:eastAsia="宋体" w:hAnsi="宋体" w:cs="宋体" w:hint="eastAsia"/>
          <w:bCs/>
          <w:sz w:val="18"/>
          <w:szCs w:val="21"/>
        </w:rPr>
        <w:t>。</w:t>
      </w:r>
    </w:p>
    <w:p>
      <w:pPr>
        <w:pStyle w:val="ad"/>
        <w:numPr>
          <w:ilvl w:val="0"/>
          <w:numId w:val="2"/>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 xml:space="preserve">由于以下几种原因造成的结果有异议,复测将重新收费 </w:t>
      </w:r>
    </w:p>
    <w:p>
      <w:pPr>
        <w:pStyle w:val="ad"/>
        <w:spacing w:line="276" w:lineRule="auto"/>
        <w:ind w:left="840" w:firstLineChars="0" w:firstLine="0"/>
        <w:jc w:val="left"/>
        <w:rPr>
          <w:rFonts w:ascii="宋体" w:eastAsia="宋体" w:hAnsi="宋体" w:cs="宋体"/>
          <w:bCs/>
          <w:sz w:val="18"/>
          <w:szCs w:val="21"/>
        </w:rPr>
      </w:pPr>
      <w:r>
        <w:rPr>
          <w:rFonts w:ascii="宋体" w:eastAsia="宋体" w:hAnsi="宋体" w:cs="宋体" w:hint="eastAsia"/>
          <w:bCs/>
          <w:sz w:val="18"/>
          <w:szCs w:val="21"/>
        </w:rPr>
        <w:t xml:space="preserve">a.由于样品自身原因     b.由于实验要求不明确或提供测试方法不合适导致的结果不准确  </w:t>
      </w:r>
    </w:p>
    <w:p>
      <w:pPr>
        <w:pStyle w:val="ad"/>
        <w:spacing w:line="276" w:lineRule="auto"/>
        <w:ind w:left="840" w:firstLineChars="0" w:firstLine="0"/>
        <w:jc w:val="left"/>
        <w:rPr>
          <w:rFonts w:ascii="宋体" w:eastAsia="宋体" w:hAnsi="宋体" w:cs="宋体"/>
          <w:bCs/>
          <w:sz w:val="18"/>
          <w:szCs w:val="21"/>
        </w:rPr>
      </w:pPr>
      <w:r>
        <w:rPr>
          <w:rFonts w:ascii="宋体" w:eastAsia="宋体" w:hAnsi="宋体" w:cs="宋体" w:hint="eastAsia"/>
          <w:bCs/>
          <w:sz w:val="18"/>
          <w:szCs w:val="21"/>
        </w:rPr>
        <w:t>c.实验不确定性很高，在提前预计到实验的不确定性后仍要求进行检测。</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关于样品保存及回收</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
          <w:bCs/>
          <w:color w:val="FF0000"/>
          <w:sz w:val="18"/>
          <w:szCs w:val="21"/>
        </w:rPr>
        <w:t>对于测试完毕仍有剩余的样品，我方仅保留5天时间，5天后进行销毁。</w:t>
      </w:r>
      <w:r>
        <w:rPr>
          <w:rFonts w:ascii="宋体" w:eastAsia="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eastAsia="宋体" w:hAnsi="宋体" w:cs="宋体"/>
          <w:bCs/>
          <w:color w:val="000000" w:themeColor="text1"/>
          <w:sz w:val="18"/>
          <w:szCs w:val="21"/>
        </w:rPr>
      </w:pPr>
      <w:r>
        <w:rPr>
          <w:rFonts w:ascii="宋体" w:eastAsia="宋体" w:hAnsi="宋体" w:cs="宋体" w:hint="eastAsia"/>
          <w:bCs/>
          <w:color w:val="000000" w:themeColor="text1"/>
          <w:sz w:val="18"/>
          <w:szCs w:val="21"/>
        </w:rPr>
        <w:t>送检样品一般不建议回收，</w:t>
      </w:r>
      <w:r>
        <w:rPr>
          <w:rFonts w:ascii="宋体" w:eastAsia="宋体" w:hAnsi="宋体" w:cs="宋体" w:hint="eastAsia"/>
          <w:color w:val="000000" w:themeColor="text1"/>
          <w:sz w:val="18"/>
          <w:szCs w:val="21"/>
        </w:rPr>
        <w:t>回收收取25元回收费</w:t>
      </w:r>
      <w:r>
        <w:rPr>
          <w:rFonts w:ascii="宋体" w:eastAsia="宋体" w:hAnsi="宋体" w:cs="宋体" w:hint="eastAsia"/>
          <w:b/>
          <w:bCs/>
          <w:color w:val="FF0000"/>
          <w:sz w:val="18"/>
          <w:szCs w:val="21"/>
        </w:rPr>
        <w:t>（大件以及特殊样品回收另算）</w:t>
      </w:r>
      <w:r>
        <w:rPr>
          <w:rFonts w:ascii="宋体" w:eastAsia="宋体" w:hAnsi="宋体" w:cs="宋体" w:hint="eastAsia"/>
          <w:bCs/>
          <w:color w:val="000000" w:themeColor="text1"/>
          <w:sz w:val="18"/>
          <w:szCs w:val="21"/>
        </w:rPr>
        <w:t>，需</w:t>
      </w:r>
      <w:r>
        <w:rPr>
          <w:rFonts w:ascii="宋体" w:eastAsia="宋体" w:hAnsi="宋体" w:cs="宋体" w:hint="eastAsia"/>
          <w:b/>
          <w:bCs/>
          <w:color w:val="FF0000"/>
          <w:sz w:val="18"/>
          <w:szCs w:val="21"/>
        </w:rPr>
        <w:t>回收样品请在</w:t>
      </w:r>
      <w:r>
        <w:rPr>
          <w:rFonts w:ascii="宋体" w:eastAsia="宋体" w:hAnsi="宋体" w:cs="宋体" w:hint="eastAsia"/>
          <w:b/>
          <w:color w:val="FF0000"/>
          <w:sz w:val="18"/>
          <w:szCs w:val="21"/>
        </w:rPr>
        <w:t>发送测试结果之后5天内与我方工作人员进行反馈回收</w:t>
      </w:r>
      <w:r>
        <w:rPr>
          <w:rFonts w:ascii="宋体" w:eastAsia="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由于回收过程比较繁琐，涉及到物流收发，样品管理及出入库等环节，有可能造成样品的丢失或者损伤，</w:t>
      </w:r>
      <w:r>
        <w:rPr>
          <w:rFonts w:ascii="宋体" w:eastAsia="宋体" w:hAnsi="宋体" w:cs="宋体" w:hint="eastAsia"/>
          <w:b/>
          <w:bCs/>
          <w:color w:val="FF0000"/>
          <w:sz w:val="18"/>
          <w:szCs w:val="21"/>
        </w:rPr>
        <w:t>选择回收的样品发生损坏或者丢失，按照当次测试费金额赔付，最高不超过500元/批样品。（同一天送样算作一批），</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
          <w:bCs/>
          <w:color w:val="FF0000"/>
          <w:sz w:val="18"/>
          <w:szCs w:val="21"/>
        </w:rPr>
        <w:t>如有易损坏、腐败、变性等样品请提前与我方沟通，</w:t>
      </w:r>
      <w:r>
        <w:rPr>
          <w:rFonts w:ascii="宋体" w:eastAsia="宋体" w:hAnsi="宋体" w:cs="宋体" w:hint="eastAsia"/>
          <w:bCs/>
          <w:sz w:val="18"/>
          <w:szCs w:val="21"/>
        </w:rPr>
        <w:t>并将样品自行做好包装，</w:t>
      </w:r>
      <w:r>
        <w:rPr>
          <w:rFonts w:ascii="宋体" w:eastAsia="宋体" w:hAnsi="宋体" w:cs="宋体" w:hint="eastAsia"/>
          <w:b/>
          <w:bCs/>
          <w:color w:val="FF0000"/>
          <w:sz w:val="18"/>
          <w:szCs w:val="21"/>
        </w:rPr>
        <w:t>送样备注好样品保存条件，保存期限等内容</w:t>
      </w:r>
      <w:r>
        <w:rPr>
          <w:rFonts w:ascii="宋体" w:eastAsia="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
          <w:bCs/>
          <w:color w:val="FF0000"/>
          <w:sz w:val="18"/>
          <w:szCs w:val="21"/>
        </w:rPr>
        <w:t>珍贵样品送样务必提前说明，并做好样品备份工作</w:t>
      </w:r>
      <w:r>
        <w:rPr>
          <w:rFonts w:ascii="宋体" w:eastAsia="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样品要求：</w:t>
      </w:r>
    </w:p>
    <w:p>
      <w:pPr>
        <w:pStyle w:val="ad"/>
        <w:numPr>
          <w:ilvl w:val="0"/>
          <w:numId w:val="5"/>
        </w:numPr>
        <w:spacing w:line="276" w:lineRule="auto"/>
        <w:ind w:firstLineChars="0"/>
        <w:jc w:val="left"/>
        <w:rPr>
          <w:rFonts w:ascii="宋体" w:eastAsia="宋体" w:hAnsi="宋体" w:cs="宋体"/>
          <w:bCs/>
          <w:sz w:val="18"/>
          <w:szCs w:val="21"/>
        </w:rPr>
      </w:pPr>
      <w:r>
        <w:rPr>
          <w:rFonts w:ascii="宋体" w:eastAsia="宋体" w:hAnsi="宋体" w:cs="宋体"/>
          <w:bCs/>
          <w:sz w:val="18"/>
          <w:szCs w:val="21"/>
        </w:rPr>
        <w:t>重量不超过1Kg，尺寸不超过100*100*100mm，测试面平整。</w:t>
      </w:r>
      <w:r>
        <w:rPr>
          <w:rFonts w:ascii="宋体" w:eastAsia="宋体" w:hAnsi="宋体" w:cs="宋体" w:hint="eastAsia"/>
          <w:bCs/>
          <w:sz w:val="18"/>
          <w:szCs w:val="21"/>
        </w:rPr>
        <w:t>。</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注意事项：</w:t>
      </w:r>
    </w:p>
    <w:p>
      <w:pPr>
        <w:pStyle w:val="ad"/>
        <w:numPr>
          <w:ilvl w:val="0"/>
          <w:numId w:val="6"/>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测试一般提供2个区域，区域大小可以指定，</w:t>
      </w:r>
      <w:r>
        <w:rPr>
          <w:rFonts w:ascii="宋体" w:eastAsia="宋体" w:hAnsi="宋体" w:cs="宋体"/>
          <w:bCs/>
          <w:sz w:val="18"/>
          <w:szCs w:val="21"/>
        </w:rPr>
        <w:t>倍率可从20倍到6000倍自由改变</w:t>
      </w:r>
      <w:r>
        <w:rPr>
          <w:rFonts w:ascii="宋体" w:eastAsia="宋体" w:hAnsi="宋体" w:cs="宋体" w:hint="eastAsia"/>
          <w:bCs/>
          <w:sz w:val="18"/>
          <w:szCs w:val="21"/>
        </w:rPr>
        <w:t>；</w:t>
      </w:r>
    </w:p>
    <w:p>
      <w:pPr>
        <w:pStyle w:val="ad"/>
        <w:numPr>
          <w:ilvl w:val="0"/>
          <w:numId w:val="6"/>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尽量不测粉末，特殊需观察堆积粉末表面形貌时才考虑，粉末需要比较细腻，颗粒平均直径不超过30 μm，需要提前沟通了解测试要求，判断是否可测。</w:t>
      </w:r>
    </w:p>
    <w:p>
      <w:pPr>
        <w:adjustRightInd w:val="0"/>
        <w:snapToGrid w:val="0"/>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adjustRightInd w:val="0"/>
        <w:snapToGrid w:val="0"/>
        <w:jc w:val="center"/>
        <w:rPr>
          <w:rFonts w:ascii="华文楷体" w:eastAsia="华文楷体" w:hAnsi="华文楷体" w:cs="Times New Roman"/>
          <w:b/>
          <w:sz w:val="36"/>
          <w:szCs w:val="36"/>
        </w:rPr>
      </w:pPr>
    </w:p>
    <w:p>
      <w:pPr>
        <w:adjustRightInd w:val="0"/>
        <w:snapToGrid w:val="0"/>
        <w:jc w:val="center"/>
        <w:rPr>
          <w:rFonts w:ascii="华文楷体" w:eastAsia="华文楷体" w:hAnsi="华文楷体" w:cs="Times New Roman"/>
          <w:b/>
          <w:sz w:val="36"/>
          <w:szCs w:val="36"/>
        </w:rPr>
      </w:pPr>
    </w:p>
    <w:p>
      <w:pPr>
        <w:adjustRightInd w:val="0"/>
        <w:snapToGrid w:val="0"/>
        <w:jc w:val="center"/>
        <w:rPr>
          <w:rFonts w:ascii="华文楷体" w:eastAsia="华文楷体" w:hAnsi="华文楷体" w:cs="Times New Roman"/>
          <w:b/>
          <w:sz w:val="36"/>
          <w:szCs w:val="36"/>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jc w:val="center"/>
        <w:rPr>
          <w:rFonts w:ascii="华文楷体" w:eastAsia="华文楷体" w:hAnsi="华文楷体" w:cs="Times New Roman"/>
          <w:b/>
          <w:sz w:val="36"/>
          <w:szCs w:val="36"/>
        </w:rPr>
      </w:pPr>
      <w:r>
        <w:rPr>
          <w:rFonts w:ascii="华文楷体" w:eastAsia="华文楷体" w:hAnsi="华文楷体" w:cs="Times New Roman" w:hint="eastAsia"/>
          <w:b/>
          <w:sz w:val="36"/>
          <w:szCs w:val="36"/>
        </w:rPr>
        <w:t>超景深显微镜测试要求</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812"/>
        <w:gridCol w:w="2126"/>
        <w:gridCol w:w="1134"/>
      </w:tblGrid>
      <w:tr>
        <w:trPr>
          <w:trHeight w:val="554"/>
        </w:trPr>
        <w:tc>
          <w:tcPr>
            <w:tcW w:w="1384" w:type="dxa"/>
            <w:vAlign w:val="center"/>
          </w:tcPr>
          <w:p>
            <w:pPr>
              <w:jc w:val="center"/>
              <w:rPr>
                <w:rFonts w:ascii="华文楷体" w:eastAsia="华文楷体" w:hAnsi="华文楷体" w:cs="Times New Roman"/>
                <w:sz w:val="18"/>
                <w:szCs w:val="18"/>
              </w:rPr>
            </w:pPr>
            <w:r>
              <w:rPr>
                <w:rFonts w:ascii="华文楷体" w:eastAsia="华文楷体" w:hAnsi="华文楷体" w:hint="eastAsia"/>
                <w:sz w:val="18"/>
                <w:szCs w:val="18"/>
              </w:rPr>
              <w:t>样品编号</w:t>
            </w:r>
          </w:p>
        </w:tc>
        <w:tc>
          <w:tcPr>
            <w:tcW w:w="5812" w:type="dxa"/>
            <w:vAlign w:val="center"/>
          </w:tcPr>
          <w:p>
            <w:pPr>
              <w:rPr>
                <w:rFonts w:ascii="华文楷体" w:eastAsia="华文楷体" w:hAnsi="华文楷体" w:cs="Times New Roman"/>
                <w:sz w:val="18"/>
                <w:szCs w:val="18"/>
                <w:u w:val="single"/>
              </w:rPr>
            </w:pPr>
          </w:p>
        </w:tc>
        <w:tc>
          <w:tcPr>
            <w:tcW w:w="2126" w:type="dxa"/>
            <w:vAlign w:val="center"/>
          </w:tcPr>
          <w:p>
            <w:pPr>
              <w:rPr>
                <w:rFonts w:ascii="华文楷体" w:eastAsia="华文楷体" w:hAnsi="华文楷体" w:cs="Times New Roman"/>
                <w:sz w:val="18"/>
                <w:szCs w:val="18"/>
                <w:u w:val="single"/>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cs="Times New Roman"/>
                <w:sz w:val="18"/>
                <w:szCs w:val="18"/>
                <w:u w:val="single"/>
              </w:rPr>
            </w:pPr>
          </w:p>
        </w:tc>
      </w:tr>
      <w:tr>
        <w:trPr>
          <w:trHeight w:val="54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812" w:type="dxa"/>
            <w:vAlign w:val="center"/>
          </w:tcPr>
          <w:p>
            <w:pPr>
              <w:rPr>
                <w:rFonts w:ascii="华文楷体" w:eastAsia="华文楷体" w:hAnsi="华文楷体" w:cs="Times New Roman"/>
                <w:sz w:val="18"/>
                <w:szCs w:val="18"/>
              </w:rPr>
            </w:pPr>
          </w:p>
        </w:tc>
        <w:tc>
          <w:tcPr>
            <w:tcW w:w="2126" w:type="dxa"/>
            <w:vAlign w:val="center"/>
          </w:tcPr>
          <w:p>
            <w:pPr>
              <w:rPr>
                <w:rFonts w:ascii="华文楷体" w:eastAsia="华文楷体" w:hAnsi="华文楷体" w:cs="Times New Roman"/>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cs="Times New Roman"/>
                <w:sz w:val="18"/>
                <w:szCs w:val="18"/>
              </w:rPr>
            </w:pPr>
          </w:p>
        </w:tc>
      </w:tr>
      <w:tr>
        <w:trPr>
          <w:trHeight w:val="564"/>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9072"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cs="Times New Roman" w:hint="eastAsia"/>
                <w:sz w:val="18"/>
                <w:szCs w:val="18"/>
              </w:rPr>
              <w:t xml:space="preserve">     </w:t>
            </w:r>
            <w:r>
              <w:rPr>
                <w:rFonts w:ascii="华文楷体" w:eastAsia="华文楷体" w:hAnsi="华文楷体" w:cs="Times New Roman"/>
                <w:sz w:val="18"/>
                <w:szCs w:val="18"/>
              </w:rPr>
              <w:t xml:space="preserve"> </w:t>
            </w:r>
            <w:r>
              <w:rPr>
                <w:rFonts w:ascii="华文楷体" w:eastAsia="华文楷体" w:hAnsi="华文楷体" w:cs="Times New Roman"/>
                <w:color w:val="FF0000"/>
                <w:sz w:val="18"/>
                <w:szCs w:val="18"/>
              </w:rPr>
              <w:t xml:space="preserve"> </w:t>
            </w:r>
            <w:r>
              <w:rPr>
                <w:rFonts w:ascii="华文楷体" w:eastAsia="华文楷体" w:hAnsi="华文楷体" w:cs="Times New Roman"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cs="Times New Roman" w:hint="eastAsia"/>
                <w:color w:val="FF0000"/>
                <w:sz w:val="18"/>
                <w:szCs w:val="18"/>
              </w:rPr>
              <w:t>可复制选框）</w:t>
            </w:r>
          </w:p>
        </w:tc>
      </w:tr>
      <w:tr>
        <w:trPr>
          <w:trHeight w:val="58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9072" w:type="dxa"/>
            <w:gridSpan w:val="3"/>
            <w:vAlign w:val="center"/>
          </w:tcPr>
          <w:p>
            <w:pPr>
              <w:rPr>
                <w:rFonts w:ascii="华文楷体" w:eastAsia="华文楷体" w:hAnsi="华文楷体" w:cs="Times New Roman"/>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44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9072"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9072" w:type="dxa"/>
            <w:gridSpan w:val="3"/>
          </w:tcPr>
          <w:p>
            <w:pPr>
              <w:spacing w:beforeLines="50" w:before="156" w:afterLines="50" w:after="156"/>
              <w:ind w:left="90" w:hangingChars="50" w:hanging="90"/>
              <w:rPr>
                <w:rFonts w:ascii="华文楷体" w:eastAsia="华文楷体" w:hAnsi="华文楷体" w:cs="宋体"/>
                <w:sz w:val="18"/>
                <w:szCs w:val="18"/>
                <w:u w:val="single"/>
              </w:rPr>
            </w:pPr>
            <w:r>
              <w:rPr>
                <w:rFonts w:ascii="华文楷体" w:eastAsia="华文楷体" w:hAnsi="华文楷体" w:cs="宋体" w:hint="eastAsia"/>
                <w:sz w:val="18"/>
                <w:szCs w:val="18"/>
              </w:rPr>
              <w:t>□2</w:t>
            </w:r>
            <w:r>
              <w:rPr>
                <w:rFonts w:ascii="华文楷体" w:eastAsia="华文楷体" w:hAnsi="华文楷体" w:cs="宋体"/>
                <w:sz w:val="18"/>
                <w:szCs w:val="18"/>
              </w:rPr>
              <w:t>D</w:t>
            </w:r>
            <w:r>
              <w:rPr>
                <w:rFonts w:ascii="华文楷体" w:eastAsia="华文楷体" w:hAnsi="华文楷体" w:cs="宋体" w:hint="eastAsia"/>
                <w:sz w:val="18"/>
                <w:szCs w:val="18"/>
              </w:rPr>
              <w:t>形貌+3</w:t>
            </w:r>
            <w:r>
              <w:rPr>
                <w:rFonts w:ascii="华文楷体" w:eastAsia="华文楷体" w:hAnsi="华文楷体" w:cs="宋体"/>
                <w:sz w:val="18"/>
                <w:szCs w:val="18"/>
              </w:rPr>
              <w:t>D</w:t>
            </w:r>
            <w:r>
              <w:rPr>
                <w:rFonts w:ascii="华文楷体" w:eastAsia="华文楷体" w:hAnsi="华文楷体" w:cs="宋体" w:hint="eastAsia"/>
                <w:sz w:val="18"/>
                <w:szCs w:val="18"/>
              </w:rPr>
              <w:t>形貌</w:t>
            </w:r>
            <w:r>
              <w:rPr>
                <w:rFonts w:ascii="华文楷体" w:eastAsia="华文楷体" w:hAnsi="华文楷体" w:cs="宋体"/>
                <w:sz w:val="18"/>
                <w:szCs w:val="18"/>
              </w:rPr>
              <w:t>+</w:t>
            </w:r>
            <w:r>
              <w:rPr>
                <w:rFonts w:ascii="华文楷体" w:eastAsia="华文楷体" w:hAnsi="华文楷体" w:cs="宋体" w:hint="eastAsia"/>
                <w:sz w:val="18"/>
                <w:szCs w:val="18"/>
              </w:rPr>
              <w:t>粗糙度</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□2</w:t>
            </w:r>
            <w:r>
              <w:rPr>
                <w:rFonts w:ascii="华文楷体" w:eastAsia="华文楷体" w:hAnsi="华文楷体" w:cs="宋体"/>
                <w:sz w:val="18"/>
                <w:szCs w:val="18"/>
              </w:rPr>
              <w:t>D</w:t>
            </w:r>
            <w:r>
              <w:rPr>
                <w:rFonts w:ascii="华文楷体" w:eastAsia="华文楷体" w:hAnsi="华文楷体" w:cs="宋体" w:hint="eastAsia"/>
                <w:sz w:val="18"/>
                <w:szCs w:val="18"/>
              </w:rPr>
              <w:t>形貌+3</w:t>
            </w:r>
            <w:r>
              <w:rPr>
                <w:rFonts w:ascii="华文楷体" w:eastAsia="华文楷体" w:hAnsi="华文楷体" w:cs="宋体"/>
                <w:sz w:val="18"/>
                <w:szCs w:val="18"/>
              </w:rPr>
              <w:t>D</w:t>
            </w:r>
            <w:r>
              <w:rPr>
                <w:rFonts w:ascii="华文楷体" w:eastAsia="华文楷体" w:hAnsi="华文楷体" w:cs="宋体" w:hint="eastAsia"/>
                <w:sz w:val="18"/>
                <w:szCs w:val="18"/>
              </w:rPr>
              <w:t>形貌+粗糙度</w:t>
            </w:r>
            <w:r>
              <w:rPr>
                <w:rFonts w:ascii="华文楷体" w:eastAsia="华文楷体" w:hAnsi="华文楷体" w:cs="宋体"/>
                <w:sz w:val="18"/>
                <w:szCs w:val="18"/>
              </w:rPr>
              <w:t>+轮廓曲线</w:t>
            </w:r>
            <w:r>
              <w:rPr>
                <w:rFonts w:ascii="华文楷体" w:eastAsia="华文楷体" w:hAnsi="华文楷体" w:cs="宋体" w:hint="eastAsia"/>
                <w:sz w:val="18"/>
                <w:szCs w:val="18"/>
              </w:rPr>
              <w:t xml:space="preserve">     </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扫描区域大小</w:t>
            </w:r>
          </w:p>
        </w:tc>
        <w:tc>
          <w:tcPr>
            <w:tcW w:w="9072"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□无要求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□有要求，具体的扫描范围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um</w:t>
            </w:r>
            <w:r>
              <w:rPr>
                <w:rFonts w:ascii="华文楷体" w:eastAsia="华文楷体" w:hAnsi="华文楷体" w:cs="宋体"/>
                <w:sz w:val="18"/>
                <w:szCs w:val="18"/>
              </w:rPr>
              <w:t>*</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um</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9072" w:type="dxa"/>
            <w:gridSpan w:val="3"/>
          </w:tcPr>
          <w:p>
            <w:pPr>
              <w:adjustRightInd w:val="0"/>
              <w:snapToGrid w:val="0"/>
              <w:spacing w:line="276"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备注：如对扫描区域，测试位置数、测试面等有要求，请进行详细描述，如有相应的文献参考，请务必提供图片并附说明。</w:t>
            </w:r>
          </w:p>
          <w:p>
            <w:pPr>
              <w:adjustRightInd w:val="0"/>
              <w:snapToGrid w:val="0"/>
              <w:spacing w:line="276" w:lineRule="auto"/>
              <w:rPr>
                <w:rFonts w:ascii="华文楷体" w:eastAsia="华文楷体" w:hAnsi="华文楷体" w:cs="宋体"/>
                <w:color w:val="FF0000"/>
                <w:sz w:val="18"/>
                <w:szCs w:val="18"/>
              </w:rPr>
            </w:pPr>
          </w:p>
          <w:p>
            <w:pPr>
              <w:adjustRightInd w:val="0"/>
              <w:snapToGrid w:val="0"/>
              <w:spacing w:line="276" w:lineRule="auto"/>
              <w:rPr>
                <w:rFonts w:ascii="华文楷体" w:eastAsia="华文楷体" w:hAnsi="华文楷体" w:cs="宋体"/>
                <w:color w:val="FF0000"/>
                <w:sz w:val="18"/>
                <w:szCs w:val="18"/>
              </w:rPr>
            </w:pPr>
          </w:p>
          <w:p>
            <w:pPr>
              <w:adjustRightInd w:val="0"/>
              <w:snapToGrid w:val="0"/>
              <w:spacing w:line="276" w:lineRule="auto"/>
              <w:rPr>
                <w:rFonts w:ascii="华文楷体" w:eastAsia="华文楷体" w:hAnsi="华文楷体" w:cs="宋体"/>
                <w:color w:val="FF0000"/>
                <w:sz w:val="18"/>
                <w:szCs w:val="18"/>
              </w:rPr>
            </w:pPr>
          </w:p>
          <w:p>
            <w:pPr>
              <w:adjustRightInd w:val="0"/>
              <w:snapToGrid w:val="0"/>
              <w:spacing w:line="276" w:lineRule="auto"/>
              <w:rPr>
                <w:rFonts w:ascii="华文楷体" w:eastAsia="华文楷体" w:hAnsi="华文楷体" w:cs="宋体"/>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tc>
      </w:tr>
    </w:tbl>
    <w:p>
      <w:pPr>
        <w:jc w:val="left"/>
        <w:rPr>
          <w:rFonts w:ascii="华文楷体" w:eastAsia="华文楷体" w:hAnsi="华文楷体" w:cs="Times New Roman"/>
          <w:b/>
          <w:bCs/>
          <w:szCs w:val="21"/>
        </w:rPr>
      </w:pPr>
    </w:p>
    <w:sectPr>
      <w:headerReference w:type="even" r:id="rId8"/>
      <w:headerReference w:type="default" r:id="rId9"/>
      <w:footerReference w:type="even" r:id="rId10"/>
      <w:footerReference w:type="default" r:id="rId11"/>
      <w:headerReference w:type="first" r:id="rId12"/>
      <w:footerReference w:type="first" r:id="rId13"/>
      <w:pgSz w:w="11906" w:h="16838"/>
      <w:pgMar w:top="454" w:right="851" w:bottom="454" w:left="851"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wordWrap w:val="0"/>
      <w:jc w:val="right"/>
      <w:rPr>
        <w:rFonts w:ascii="宋体" w:hAnsi="宋体"/>
      </w:rPr>
    </w:pPr>
  </w:p>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r>
      <w:tab/>
    </w:r>
    <w:r>
      <w:rPr>
        <w:rFonts w:hint="eastAsia"/>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rPr>
        <w:rFonts w:ascii="Times New Roman" w:hAnsi="Times New Roman" w:cs="Times New Roman"/>
      </w:rPr>
    </w:pPr>
    <w:bookmarkStart w:id="0" w:name="_GoBack"/>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46F496F"/>
    <w:multiLevelType w:val="multilevel"/>
    <w:tmpl w:val="346F496F"/>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4F967893"/>
    <w:multiLevelType w:val="multilevel"/>
    <w:tmpl w:val="749956C8"/>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749956C8"/>
    <w:multiLevelType w:val="multilevel"/>
    <w:tmpl w:val="749956C8"/>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4"/>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D3B2048C-D9EA-4B75-8E2E-7D97B95CC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rPr>
      <w:rFonts w:ascii="Times New Roman" w:eastAsia="宋体" w:hAnsi="Times New Roman" w:cs="Times New Roman"/>
      <w:szCs w:val="24"/>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spacing w:beforeAutospacing="1" w:afterAutospacing="1"/>
      <w:jc w:val="left"/>
    </w:pPr>
    <w:rPr>
      <w:rFonts w:cs="Times New Roman"/>
      <w:kern w:val="0"/>
      <w:sz w:val="24"/>
    </w:rPr>
  </w:style>
  <w:style w:type="character" w:styleId="aa">
    <w:name w:val="Strong"/>
    <w:basedOn w:val="a0"/>
    <w:uiPriority w:val="22"/>
    <w:qFormat/>
    <w:rPr>
      <w:b/>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p16">
    <w:name w:val="p16"/>
    <w:basedOn w:val="a"/>
    <w:qFormat/>
    <w:pPr>
      <w:widowControl/>
      <w:jc w:val="left"/>
    </w:pPr>
    <w:rPr>
      <w:rFonts w:ascii="Times New Roman" w:eastAsia="宋体" w:hAnsi="Times New Roman" w:cs="Times New Roman"/>
      <w:kern w:val="0"/>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253</Words>
  <Characters>1446</Characters>
  <Application>Microsoft Office Word</Application>
  <DocSecurity>0</DocSecurity>
  <Lines>12</Lines>
  <Paragraphs>3</Paragraphs>
  <ScaleCrop>false</ScaleCrop>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102</cp:revision>
  <dcterms:created xsi:type="dcterms:W3CDTF">2017-04-04T09:41:00Z</dcterms:created>
  <dcterms:modified xsi:type="dcterms:W3CDTF">2024-08-30T02:13:00Z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0B662274247B441B8D96325965BA024D</vt:lpwstr>
  </property>
</Properties>
</file>