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28"/>
        </w:rPr>
      </w:pPr>
      <w:r>
        <w:rPr>
          <w:rFonts w:ascii="黑体" w:eastAsia="黑体" w:hAnsi="黑体" w:hint="eastAsia"/>
          <w:b/>
          <w:sz w:val="28"/>
          <w:szCs w:val="28"/>
        </w:rPr>
        <w:t>送样须知（必看）</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ind w:firstLineChars="0"/>
        <w:jc w:val="left"/>
        <w:rPr>
          <w:rFonts w:ascii="宋体" w:eastAsia="宋体" w:hAnsi="宋体" w:cs="宋体"/>
          <w:bCs/>
          <w:sz w:val="18"/>
          <w:szCs w:val="18"/>
        </w:rPr>
      </w:pPr>
      <w:r>
        <w:rPr>
          <w:rFonts w:ascii="宋体" w:eastAsia="宋体" w:hAnsi="宋体" w:cs="宋体" w:hint="eastAsia"/>
          <w:bCs/>
          <w:sz w:val="18"/>
          <w:szCs w:val="18"/>
        </w:rPr>
        <w:t>样品要求：</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可以直接做EBSD数据采集的样品的基本要求：样品能产生计算机可以识别且能正确标定的菊池衍射花样、表面平整、清洁、无残余应力、导电性良好、尺寸合适，数据采集处理需提供样品中各相的物相以及晶体结构及原子占位信息，元素种类等，以及晶体学信息：晶体学数据库，ICCD，或者皮尔斯手册，再就是XRD标定用的PDF卡片里面。若不符合直接测试要求，需要选择合适的制样方法。</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样品尺寸要求：形状规整，尺寸不易太大，长&lt;</w:t>
      </w:r>
      <w:r>
        <w:rPr>
          <w:rFonts w:asciiTheme="minorEastAsia" w:hAnsiTheme="minorEastAsia" w:cs="宋体"/>
          <w:bCs/>
          <w:sz w:val="18"/>
          <w:szCs w:val="18"/>
        </w:rPr>
        <w:t>8</w:t>
      </w:r>
      <w:r>
        <w:rPr>
          <w:rFonts w:asciiTheme="minorEastAsia" w:hAnsiTheme="minorEastAsia" w:cs="宋体" w:hint="eastAsia"/>
          <w:bCs/>
          <w:sz w:val="18"/>
          <w:szCs w:val="18"/>
        </w:rPr>
        <w:t>mm，宽&lt;</w:t>
      </w:r>
      <w:r>
        <w:rPr>
          <w:rFonts w:asciiTheme="minorEastAsia" w:hAnsiTheme="minorEastAsia" w:cs="宋体"/>
          <w:bCs/>
          <w:sz w:val="18"/>
          <w:szCs w:val="18"/>
        </w:rPr>
        <w:t>8</w:t>
      </w:r>
      <w:r>
        <w:rPr>
          <w:rFonts w:asciiTheme="minorEastAsia" w:hAnsiTheme="minorEastAsia" w:cs="宋体" w:hint="eastAsia"/>
          <w:bCs/>
          <w:sz w:val="18"/>
          <w:szCs w:val="18"/>
        </w:rPr>
        <w:t>mm，厚度&lt;</w:t>
      </w:r>
      <w:r>
        <w:rPr>
          <w:rFonts w:asciiTheme="minorEastAsia" w:hAnsiTheme="minorEastAsia" w:cs="宋体"/>
          <w:bCs/>
          <w:sz w:val="18"/>
          <w:szCs w:val="18"/>
        </w:rPr>
        <w:t>3</w:t>
      </w:r>
      <w:r>
        <w:rPr>
          <w:rFonts w:asciiTheme="minorEastAsia" w:hAnsiTheme="minorEastAsia" w:cs="宋体" w:hint="eastAsia"/>
          <w:bCs/>
          <w:sz w:val="18"/>
          <w:szCs w:val="18"/>
        </w:rPr>
        <w:t>mm，测试面需要表面光滑，没有明显划痕。</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样品的制备条件参考：</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金属样品</w:t>
      </w:r>
      <w:r>
        <w:rPr>
          <w:rFonts w:asciiTheme="minorEastAsia" w:hAnsiTheme="minorEastAsia" w:cs="宋体" w:hint="eastAsia"/>
          <w:color w:val="000000" w:themeColor="text1"/>
          <w:kern w:val="0"/>
          <w:sz w:val="18"/>
          <w:szCs w:val="21"/>
        </w:rPr>
        <w:t>：机械抛光+化学侵蚀（硬度较高、原子序数大）；机械抛光+电解抛光（纯金属/第二相细小的合金）；</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金属基复合材料</w:t>
      </w:r>
      <w:r>
        <w:rPr>
          <w:rFonts w:asciiTheme="minorEastAsia" w:hAnsiTheme="minorEastAsia" w:cs="宋体" w:hint="eastAsia"/>
          <w:color w:val="000000" w:themeColor="text1"/>
          <w:kern w:val="0"/>
          <w:sz w:val="18"/>
          <w:szCs w:val="21"/>
        </w:rPr>
        <w:t>：同上或者</w:t>
      </w:r>
      <w:proofErr w:type="gramStart"/>
      <w:r>
        <w:rPr>
          <w:rFonts w:asciiTheme="minorEastAsia" w:hAnsiTheme="minorEastAsia" w:cs="宋体" w:hint="eastAsia"/>
          <w:color w:val="000000" w:themeColor="text1"/>
          <w:kern w:val="0"/>
          <w:sz w:val="18"/>
          <w:szCs w:val="21"/>
        </w:rPr>
        <w:t>氩</w:t>
      </w:r>
      <w:proofErr w:type="gramEnd"/>
      <w:r>
        <w:rPr>
          <w:rFonts w:asciiTheme="minorEastAsia" w:hAnsiTheme="minorEastAsia" w:cs="宋体" w:hint="eastAsia"/>
          <w:color w:val="000000" w:themeColor="text1"/>
          <w:kern w:val="0"/>
          <w:sz w:val="18"/>
          <w:szCs w:val="21"/>
        </w:rPr>
        <w:t>离子抛光（抛光区域较小，一般800*800微米左右）</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陶瓷样品</w:t>
      </w:r>
      <w:r>
        <w:rPr>
          <w:rFonts w:asciiTheme="minorEastAsia" w:hAnsiTheme="minorEastAsia" w:cs="宋体" w:hint="eastAsia"/>
          <w:color w:val="000000" w:themeColor="text1"/>
          <w:kern w:val="0"/>
          <w:sz w:val="18"/>
          <w:szCs w:val="21"/>
        </w:rPr>
        <w:t>：机械抛光、 氩离子抛光</w:t>
      </w:r>
    </w:p>
    <w:p>
      <w:pPr>
        <w:pStyle w:val="ad"/>
        <w:widowControl/>
        <w:numPr>
          <w:ilvl w:val="0"/>
          <w:numId w:val="5"/>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color w:val="000000" w:themeColor="text1"/>
          <w:kern w:val="0"/>
          <w:sz w:val="18"/>
          <w:szCs w:val="21"/>
        </w:rPr>
        <w:t>测试面需要标记清楚，如需要特殊区域定位，请附上SEM图片或者光学图片给出具体定位信息；</w:t>
      </w:r>
    </w:p>
    <w:p>
      <w:pPr>
        <w:pStyle w:val="ad"/>
        <w:widowControl/>
        <w:numPr>
          <w:ilvl w:val="0"/>
          <w:numId w:val="5"/>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color w:val="000000" w:themeColor="text1"/>
          <w:kern w:val="0"/>
          <w:sz w:val="18"/>
          <w:szCs w:val="21"/>
        </w:rPr>
        <w:t>寄送样品</w:t>
      </w:r>
      <w:proofErr w:type="gramStart"/>
      <w:r>
        <w:rPr>
          <w:rFonts w:asciiTheme="minorEastAsia" w:hAnsiTheme="minorEastAsia" w:cs="宋体" w:hint="eastAsia"/>
          <w:color w:val="000000" w:themeColor="text1"/>
          <w:kern w:val="0"/>
          <w:sz w:val="18"/>
          <w:szCs w:val="21"/>
        </w:rPr>
        <w:t>请固定</w:t>
      </w:r>
      <w:proofErr w:type="gramEnd"/>
      <w:r>
        <w:rPr>
          <w:rFonts w:asciiTheme="minorEastAsia" w:hAnsiTheme="minorEastAsia" w:cs="宋体" w:hint="eastAsia"/>
          <w:color w:val="000000" w:themeColor="text1"/>
          <w:kern w:val="0"/>
          <w:sz w:val="18"/>
          <w:szCs w:val="21"/>
        </w:rPr>
        <w:t>好样品，测试面不要触碰到任何表面，避免表面划伤！！</w:t>
      </w:r>
    </w:p>
    <w:p>
      <w:pPr>
        <w:pStyle w:val="ad"/>
        <w:numPr>
          <w:ilvl w:val="0"/>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注意事项：</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EBSD测试必须了解样品物相信息，若不清楚，建议先做XRD确定其物相信息。</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常规每个区域测试范围1小时之内，每个样品测试1个区域，如果需要测试多个区域按照多个样品计费，每个样品测试时间超过</w:t>
      </w:r>
      <w:r>
        <w:rPr>
          <w:rFonts w:asciiTheme="minorEastAsia" w:hAnsiTheme="minorEastAsia" w:cs="宋体"/>
          <w:bCs/>
          <w:sz w:val="18"/>
          <w:szCs w:val="18"/>
        </w:rPr>
        <w:t>0.5</w:t>
      </w:r>
      <w:r>
        <w:rPr>
          <w:rFonts w:asciiTheme="minorEastAsia" w:hAnsiTheme="minorEastAsia" w:cs="宋体" w:hint="eastAsia"/>
          <w:bCs/>
          <w:sz w:val="18"/>
          <w:szCs w:val="18"/>
        </w:rPr>
        <w:t>小时， 额外收费。</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E</w:t>
      </w:r>
      <w:r>
        <w:rPr>
          <w:rFonts w:ascii="华文楷体" w:eastAsia="华文楷体" w:hAnsi="华文楷体" w:cs="Times New Roman"/>
          <w:b/>
          <w:sz w:val="36"/>
          <w:szCs w:val="36"/>
        </w:rPr>
        <w:t>BSD</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5529"/>
        <w:gridCol w:w="2268"/>
        <w:gridCol w:w="1229"/>
      </w:tblGrid>
      <w:tr>
        <w:trPr>
          <w:trHeight w:val="468"/>
          <w:jc w:val="center"/>
        </w:trPr>
        <w:tc>
          <w:tcPr>
            <w:tcW w:w="1430"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529" w:type="dxa"/>
            <w:vAlign w:val="center"/>
          </w:tcPr>
          <w:p>
            <w:pPr>
              <w:spacing w:line="276" w:lineRule="auto"/>
              <w:rPr>
                <w:rFonts w:ascii="华文楷体" w:eastAsia="华文楷体" w:hAnsi="华文楷体" w:cs="Times New Roman"/>
                <w:sz w:val="18"/>
                <w:szCs w:val="18"/>
                <w:u w:val="single"/>
              </w:rPr>
            </w:pPr>
          </w:p>
        </w:tc>
        <w:tc>
          <w:tcPr>
            <w:tcW w:w="2268"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229" w:type="dxa"/>
            <w:vAlign w:val="center"/>
          </w:tcPr>
          <w:p>
            <w:pPr>
              <w:rPr>
                <w:rFonts w:ascii="华文楷体" w:eastAsia="华文楷体" w:hAnsi="华文楷体" w:cs="Times New Roman"/>
                <w:sz w:val="18"/>
                <w:szCs w:val="18"/>
                <w:u w:val="single"/>
              </w:rPr>
            </w:pPr>
          </w:p>
        </w:tc>
      </w:tr>
      <w:tr>
        <w:trPr>
          <w:trHeight w:val="40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9" w:type="dxa"/>
            <w:vAlign w:val="center"/>
          </w:tcPr>
          <w:p>
            <w:pPr>
              <w:spacing w:line="276" w:lineRule="auto"/>
              <w:rPr>
                <w:rFonts w:ascii="华文楷体" w:eastAsia="华文楷体" w:hAnsi="华文楷体" w:cs="Times New Roman"/>
                <w:sz w:val="18"/>
                <w:szCs w:val="18"/>
              </w:rPr>
            </w:pPr>
          </w:p>
        </w:tc>
        <w:tc>
          <w:tcPr>
            <w:tcW w:w="2268"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是否回收（回收费25元）</w:t>
            </w:r>
          </w:p>
        </w:tc>
        <w:tc>
          <w:tcPr>
            <w:tcW w:w="1229" w:type="dxa"/>
            <w:vAlign w:val="center"/>
          </w:tcPr>
          <w:p>
            <w:pPr>
              <w:rPr>
                <w:rFonts w:ascii="华文楷体" w:eastAsia="华文楷体" w:hAnsi="华文楷体" w:cs="Times New Roman"/>
                <w:sz w:val="18"/>
                <w:szCs w:val="18"/>
              </w:rPr>
            </w:pPr>
          </w:p>
        </w:tc>
      </w:tr>
      <w:tr>
        <w:trPr>
          <w:trHeight w:val="42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制样</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是否需要制样： □否，不需要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p>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制样方法：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□电解抛光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□振动抛光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□氩离子抛光</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测试范围大小</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sz w:val="18"/>
                <w:szCs w:val="18"/>
              </w:rPr>
              <w:t>um*</w:t>
            </w:r>
            <w:r>
              <w:rPr>
                <w:rFonts w:ascii="华文楷体" w:eastAsia="华文楷体" w:hAnsi="华文楷体" w:cs="宋体"/>
                <w:sz w:val="18"/>
                <w:szCs w:val="18"/>
                <w:u w:val="single"/>
              </w:rPr>
              <w:t xml:space="preserve">        </w:t>
            </w:r>
            <w:r>
              <w:rPr>
                <w:rFonts w:ascii="华文楷体" w:eastAsia="华文楷体" w:hAnsi="华文楷体" w:cs="宋体"/>
                <w:sz w:val="18"/>
                <w:szCs w:val="18"/>
              </w:rPr>
              <w:t>um</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需要数据</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□极图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□反极图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□取向成像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□取向分布函数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□取向差分布图</w:t>
            </w:r>
          </w:p>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□晶粒尺寸分布图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□相图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□花样质量图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□晶界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jc w:val="center"/>
        </w:trPr>
        <w:tc>
          <w:tcPr>
            <w:tcW w:w="143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26" w:type="dxa"/>
            <w:gridSpan w:val="3"/>
          </w:tcPr>
          <w:p>
            <w:pPr>
              <w:pStyle w:val="ad"/>
              <w:numPr>
                <w:ilvl w:val="0"/>
                <w:numId w:val="6"/>
              </w:numPr>
              <w:adjustRightInd w:val="0"/>
              <w:snapToGrid w:val="0"/>
              <w:spacing w:line="276" w:lineRule="auto"/>
              <w:ind w:firstLineChars="0"/>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如对测试位置有要求，请提供对应的S</w:t>
            </w:r>
            <w:r>
              <w:rPr>
                <w:rFonts w:ascii="华文楷体" w:eastAsia="华文楷体" w:hAnsi="华文楷体" w:cs="宋体"/>
                <w:color w:val="FF0000"/>
                <w:sz w:val="18"/>
                <w:szCs w:val="18"/>
              </w:rPr>
              <w:t>EM</w:t>
            </w:r>
            <w:r>
              <w:rPr>
                <w:rFonts w:ascii="华文楷体" w:eastAsia="华文楷体" w:hAnsi="华文楷体" w:cs="宋体" w:hint="eastAsia"/>
                <w:color w:val="FF0000"/>
                <w:sz w:val="18"/>
                <w:szCs w:val="18"/>
              </w:rPr>
              <w:t>或者光学图片。</w:t>
            </w:r>
          </w:p>
          <w:p>
            <w:pPr>
              <w:pStyle w:val="ad"/>
              <w:numPr>
                <w:ilvl w:val="0"/>
                <w:numId w:val="6"/>
              </w:numPr>
              <w:adjustRightInd w:val="0"/>
              <w:snapToGrid w:val="0"/>
              <w:spacing w:line="276" w:lineRule="auto"/>
              <w:ind w:firstLineChars="0"/>
              <w:rPr>
                <w:rFonts w:ascii="华文楷体" w:eastAsia="华文楷体" w:hAnsi="华文楷体" w:cs="Times New Roman"/>
                <w:color w:val="FF0000"/>
                <w:sz w:val="18"/>
                <w:szCs w:val="18"/>
              </w:rPr>
            </w:pPr>
            <w:r>
              <w:rPr>
                <w:rFonts w:ascii="华文楷体" w:eastAsia="华文楷体" w:hAnsi="华文楷体" w:cs="Times New Roman" w:hint="eastAsia"/>
                <w:color w:val="FF0000"/>
                <w:sz w:val="18"/>
                <w:szCs w:val="18"/>
              </w:rPr>
              <w:t>需要哪些数据，请提供对应的参考图。</w:t>
            </w:r>
          </w:p>
          <w:p>
            <w:pPr>
              <w:pStyle w:val="ad"/>
              <w:numPr>
                <w:ilvl w:val="0"/>
                <w:numId w:val="6"/>
              </w:numPr>
              <w:adjustRightInd w:val="0"/>
              <w:snapToGrid w:val="0"/>
              <w:spacing w:line="276" w:lineRule="auto"/>
              <w:ind w:firstLineChars="0"/>
              <w:rPr>
                <w:rFonts w:ascii="华文楷体" w:eastAsia="华文楷体" w:hAnsi="华文楷体" w:cs="Times New Roman"/>
                <w:color w:val="FF0000"/>
                <w:sz w:val="18"/>
                <w:szCs w:val="18"/>
              </w:rPr>
            </w:pPr>
            <w:r>
              <w:rPr>
                <w:rFonts w:ascii="华文楷体" w:eastAsia="华文楷体" w:hAnsi="华文楷体" w:cs="Times New Roman" w:hint="eastAsia"/>
                <w:color w:val="FF0000"/>
                <w:sz w:val="18"/>
                <w:szCs w:val="18"/>
              </w:rPr>
              <w:t>分析物相的话请提供对应的物</w:t>
            </w:r>
            <w:proofErr w:type="gramStart"/>
            <w:r>
              <w:rPr>
                <w:rFonts w:ascii="华文楷体" w:eastAsia="华文楷体" w:hAnsi="华文楷体" w:cs="Times New Roman" w:hint="eastAsia"/>
                <w:color w:val="FF0000"/>
                <w:sz w:val="18"/>
                <w:szCs w:val="18"/>
              </w:rPr>
              <w:t>相信息</w:t>
            </w:r>
            <w:proofErr w:type="gramEnd"/>
            <w:r>
              <w:rPr>
                <w:rFonts w:ascii="华文楷体" w:eastAsia="华文楷体" w:hAnsi="华文楷体" w:cs="Times New Roman" w:hint="eastAsia"/>
                <w:color w:val="FF0000"/>
                <w:sz w:val="18"/>
                <w:szCs w:val="18"/>
              </w:rPr>
              <w:t>以及对应的文件，X</w:t>
            </w:r>
            <w:r>
              <w:rPr>
                <w:rFonts w:ascii="华文楷体" w:eastAsia="华文楷体" w:hAnsi="华文楷体" w:cs="Times New Roman"/>
                <w:color w:val="FF0000"/>
                <w:sz w:val="18"/>
                <w:szCs w:val="18"/>
              </w:rPr>
              <w:t>RD</w:t>
            </w:r>
            <w:r>
              <w:rPr>
                <w:rFonts w:ascii="华文楷体" w:eastAsia="华文楷体" w:hAnsi="华文楷体" w:cs="Times New Roman" w:hint="eastAsia"/>
                <w:color w:val="FF0000"/>
                <w:sz w:val="18"/>
                <w:szCs w:val="18"/>
              </w:rPr>
              <w:t>数据以及晶体</w:t>
            </w:r>
            <w:proofErr w:type="spellStart"/>
            <w:r>
              <w:rPr>
                <w:rFonts w:ascii="华文楷体" w:eastAsia="华文楷体" w:hAnsi="华文楷体" w:cs="Times New Roman" w:hint="eastAsia"/>
                <w:color w:val="FF0000"/>
                <w:sz w:val="18"/>
                <w:szCs w:val="18"/>
              </w:rPr>
              <w:t>cif</w:t>
            </w:r>
            <w:proofErr w:type="spellEnd"/>
            <w:r>
              <w:rPr>
                <w:rFonts w:ascii="华文楷体" w:eastAsia="华文楷体" w:hAnsi="华文楷体" w:cs="Times New Roman" w:hint="eastAsia"/>
                <w:color w:val="FF0000"/>
                <w:sz w:val="18"/>
                <w:szCs w:val="18"/>
              </w:rPr>
              <w:t>文件等信息。</w:t>
            </w:r>
          </w:p>
          <w:p>
            <w:pPr>
              <w:pStyle w:val="ad"/>
              <w:numPr>
                <w:ilvl w:val="0"/>
                <w:numId w:val="6"/>
              </w:numPr>
              <w:adjustRightInd w:val="0"/>
              <w:snapToGrid w:val="0"/>
              <w:spacing w:line="276" w:lineRule="auto"/>
              <w:ind w:firstLineChars="0"/>
              <w:rPr>
                <w:rFonts w:ascii="华文楷体" w:eastAsia="华文楷体" w:hAnsi="华文楷体" w:cs="Times New Roman"/>
                <w:color w:val="FF0000"/>
                <w:sz w:val="18"/>
                <w:szCs w:val="18"/>
              </w:rPr>
            </w:pPr>
            <w:r>
              <w:rPr>
                <w:rFonts w:ascii="华文楷体" w:eastAsia="华文楷体" w:hAnsi="华文楷体" w:cs="Times New Roman" w:hint="eastAsia"/>
                <w:color w:val="FF0000"/>
                <w:sz w:val="18"/>
                <w:szCs w:val="18"/>
              </w:rPr>
              <w:t>默认测试一个位置，每个位置扫描时间</w:t>
            </w:r>
            <w:r>
              <w:rPr>
                <w:rFonts w:ascii="华文楷体" w:eastAsia="华文楷体" w:hAnsi="华文楷体" w:cs="Times New Roman"/>
                <w:color w:val="FF0000"/>
                <w:sz w:val="18"/>
                <w:szCs w:val="18"/>
              </w:rPr>
              <w:t>0.5</w:t>
            </w:r>
            <w:r>
              <w:rPr>
                <w:rFonts w:ascii="华文楷体" w:eastAsia="华文楷体" w:hAnsi="华文楷体" w:cs="Times New Roman" w:hint="eastAsia"/>
                <w:color w:val="FF0000"/>
                <w:sz w:val="18"/>
                <w:szCs w:val="18"/>
              </w:rPr>
              <w:t>小时，如有特殊要求，请提前说明。</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ind w:left="180" w:hangingChars="100" w:hanging="180"/>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567" w:right="1021" w:bottom="567" w:left="102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97F0975"/>
    <w:multiLevelType w:val="multilevel"/>
    <w:tmpl w:val="397F0975"/>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07C2092"/>
    <w:multiLevelType w:val="multilevel"/>
    <w:tmpl w:val="407C2092"/>
    <w:lvl w:ilvl="0">
      <w:start w:val="1"/>
      <w:numFmt w:val="lowerRoman"/>
      <w:lvlText w:val="%1."/>
      <w:lvlJc w:val="right"/>
      <w:pPr>
        <w:ind w:left="2100" w:hanging="420"/>
      </w:pPr>
    </w:lvl>
    <w:lvl w:ilvl="1">
      <w:start w:val="1"/>
      <w:numFmt w:val="lowerLetter"/>
      <w:lvlText w:val="%2)"/>
      <w:lvlJc w:val="left"/>
      <w:pPr>
        <w:ind w:left="2520" w:hanging="420"/>
      </w:pPr>
    </w:lvl>
    <w:lvl w:ilvl="2">
      <w:start w:val="1"/>
      <w:numFmt w:val="lowerRoman"/>
      <w:lvlText w:val="%3."/>
      <w:lvlJc w:val="right"/>
      <w:pPr>
        <w:ind w:left="2940" w:hanging="420"/>
      </w:pPr>
    </w:lvl>
    <w:lvl w:ilvl="3">
      <w:start w:val="1"/>
      <w:numFmt w:val="decimal"/>
      <w:lvlText w:val="%4."/>
      <w:lvlJc w:val="left"/>
      <w:pPr>
        <w:ind w:left="3360" w:hanging="420"/>
      </w:pPr>
    </w:lvl>
    <w:lvl w:ilvl="4">
      <w:start w:val="1"/>
      <w:numFmt w:val="lowerLetter"/>
      <w:lvlText w:val="%5)"/>
      <w:lvlJc w:val="left"/>
      <w:pPr>
        <w:ind w:left="3780" w:hanging="420"/>
      </w:pPr>
    </w:lvl>
    <w:lvl w:ilvl="5">
      <w:start w:val="1"/>
      <w:numFmt w:val="lowerRoman"/>
      <w:lvlText w:val="%6."/>
      <w:lvlJc w:val="right"/>
      <w:pPr>
        <w:ind w:left="4200" w:hanging="420"/>
      </w:pPr>
    </w:lvl>
    <w:lvl w:ilvl="6">
      <w:start w:val="1"/>
      <w:numFmt w:val="decimal"/>
      <w:lvlText w:val="%7."/>
      <w:lvlJc w:val="left"/>
      <w:pPr>
        <w:ind w:left="4620" w:hanging="420"/>
      </w:pPr>
    </w:lvl>
    <w:lvl w:ilvl="7">
      <w:start w:val="1"/>
      <w:numFmt w:val="lowerLetter"/>
      <w:lvlText w:val="%8)"/>
      <w:lvlJc w:val="left"/>
      <w:pPr>
        <w:ind w:left="5040" w:hanging="420"/>
      </w:pPr>
    </w:lvl>
    <w:lvl w:ilvl="8">
      <w:start w:val="1"/>
      <w:numFmt w:val="lowerRoman"/>
      <w:lvlText w:val="%9."/>
      <w:lvlJc w:val="right"/>
      <w:pPr>
        <w:ind w:left="5460" w:hanging="420"/>
      </w:pPr>
    </w:lvl>
  </w:abstractNum>
  <w:abstractNum w:abstractNumId="3" w15:restartNumberingAfterBreak="0">
    <w:nsid w:val="5C963BAF"/>
    <w:multiLevelType w:val="multilevel"/>
    <w:tmpl w:val="5C963BA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C08BACA-6B2C-4AAF-996A-1248FF62E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339</Words>
  <Characters>1935</Characters>
  <Application>Microsoft Office Word</Application>
  <DocSecurity>0</DocSecurity>
  <Lines>16</Lines>
  <Paragraphs>4</Paragraphs>
  <ScaleCrop>false</ScaleCrop>
  <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100</cp:revision>
  <dcterms:created xsi:type="dcterms:W3CDTF">2017-04-04T09:41:00Z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