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无挥发性，固体、块体长</w:t>
      </w:r>
      <w:proofErr w:type="gramStart"/>
      <w:r>
        <w:rPr>
          <w:rFonts w:ascii="宋体" w:hAnsi="宋体" w:cs="宋体" w:hint="eastAsia"/>
          <w:bCs/>
          <w:sz w:val="18"/>
          <w:szCs w:val="21"/>
        </w:rPr>
        <w:t>宽最好</w:t>
      </w:r>
      <w:proofErr w:type="gramEnd"/>
      <w:r>
        <w:rPr>
          <w:rFonts w:ascii="宋体" w:hAnsi="宋体" w:cs="宋体" w:hint="eastAsia"/>
          <w:bCs/>
          <w:sz w:val="18"/>
          <w:szCs w:val="21"/>
        </w:rPr>
        <w:t>小于20mm，高度小于4mm，粉末样品1</w:t>
      </w:r>
      <w:r>
        <w:rPr>
          <w:rFonts w:ascii="宋体" w:hAnsi="宋体" w:cs="宋体"/>
          <w:bCs/>
          <w:sz w:val="18"/>
          <w:szCs w:val="21"/>
        </w:rPr>
        <w:t>0</w:t>
      </w:r>
      <w:r>
        <w:rPr>
          <w:rFonts w:ascii="宋体" w:hAnsi="宋体" w:cs="宋体" w:hint="eastAsia"/>
          <w:bCs/>
          <w:sz w:val="18"/>
          <w:szCs w:val="21"/>
        </w:rPr>
        <w:t>mg以上。</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F</w:t>
      </w:r>
      <w:r>
        <w:rPr>
          <w:rFonts w:ascii="宋体" w:hAnsi="宋体" w:cs="宋体"/>
          <w:bCs/>
          <w:sz w:val="18"/>
          <w:szCs w:val="21"/>
        </w:rPr>
        <w:t>IB</w:t>
      </w:r>
      <w:r>
        <w:rPr>
          <w:rFonts w:ascii="宋体" w:hAnsi="宋体" w:cs="宋体" w:hint="eastAsia"/>
          <w:bCs/>
          <w:sz w:val="18"/>
          <w:szCs w:val="21"/>
        </w:rPr>
        <w:t>需要样品要求导电性良好，如果导电性比较差的话需要进行喷金</w:t>
      </w:r>
      <w:proofErr w:type="gramStart"/>
      <w:r>
        <w:rPr>
          <w:rFonts w:ascii="宋体" w:hAnsi="宋体" w:cs="宋体" w:hint="eastAsia"/>
          <w:bCs/>
          <w:sz w:val="18"/>
          <w:szCs w:val="21"/>
        </w:rPr>
        <w:t>或喷碳处理</w:t>
      </w:r>
      <w:proofErr w:type="gramEnd"/>
      <w:r>
        <w:rPr>
          <w:rFonts w:ascii="宋体" w:hAnsi="宋体" w:cs="宋体" w:hint="eastAsia"/>
          <w:bCs/>
          <w:sz w:val="18"/>
          <w:szCs w:val="21"/>
        </w:rPr>
        <w:t>。</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透射样品制备只保证切出的样品厚度可以拍透射，无法保证一定能切到正好满足要求的位置。</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F</w:t>
      </w:r>
      <w:r>
        <w:rPr>
          <w:rFonts w:ascii="宋体" w:hAnsi="宋体" w:cs="宋体"/>
          <w:bCs/>
          <w:sz w:val="18"/>
          <w:szCs w:val="21"/>
        </w:rPr>
        <w:t>IB</w:t>
      </w:r>
      <w:r>
        <w:rPr>
          <w:rFonts w:ascii="宋体" w:hAnsi="宋体" w:cs="宋体" w:hint="eastAsia"/>
          <w:bCs/>
          <w:sz w:val="18"/>
          <w:szCs w:val="21"/>
        </w:rPr>
        <w:t>可以选择云视频拍摄，按照时间计费。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bCs/>
          <w:sz w:val="18"/>
          <w:szCs w:val="21"/>
        </w:rPr>
        <w:t>定位会采用视频或者发照片的形式让您确定，</w:t>
      </w:r>
      <w:proofErr w:type="gramStart"/>
      <w:r>
        <w:rPr>
          <w:rFonts w:ascii="宋体" w:hAnsi="宋体" w:cs="宋体"/>
          <w:bCs/>
          <w:sz w:val="18"/>
          <w:szCs w:val="21"/>
        </w:rPr>
        <w:t>一</w:t>
      </w:r>
      <w:proofErr w:type="gramEnd"/>
      <w:r>
        <w:rPr>
          <w:rFonts w:ascii="宋体" w:hAnsi="宋体" w:cs="宋体"/>
          <w:bCs/>
          <w:sz w:val="18"/>
          <w:szCs w:val="21"/>
        </w:rPr>
        <w:t>但确定好，后续</w:t>
      </w:r>
      <w:proofErr w:type="gramStart"/>
      <w:r>
        <w:rPr>
          <w:rFonts w:ascii="宋体" w:hAnsi="宋体" w:cs="宋体"/>
          <w:bCs/>
          <w:sz w:val="18"/>
          <w:szCs w:val="21"/>
        </w:rPr>
        <w:t>切样发现</w:t>
      </w:r>
      <w:proofErr w:type="gramEnd"/>
      <w:r>
        <w:rPr>
          <w:rFonts w:ascii="宋体" w:hAnsi="宋体" w:cs="宋体"/>
          <w:bCs/>
          <w:sz w:val="18"/>
          <w:szCs w:val="21"/>
        </w:rPr>
        <w:t>内部结构不符合预期（比如样品内部有洞，膜层分离等情况）不再进一步制样了，此位置</w:t>
      </w:r>
      <w:r>
        <w:rPr>
          <w:rFonts w:ascii="宋体" w:hAnsi="宋体" w:cs="宋体" w:hint="eastAsia"/>
          <w:bCs/>
          <w:sz w:val="18"/>
          <w:szCs w:val="21"/>
        </w:rPr>
        <w:t>需要按照半价</w:t>
      </w:r>
      <w:r>
        <w:rPr>
          <w:rFonts w:ascii="宋体" w:hAnsi="宋体" w:cs="宋体"/>
          <w:bCs/>
          <w:sz w:val="18"/>
          <w:szCs w:val="21"/>
        </w:rPr>
        <w:t>收费，定位</w:t>
      </w:r>
      <w:r>
        <w:rPr>
          <w:rFonts w:ascii="宋体" w:hAnsi="宋体" w:cs="宋体" w:hint="eastAsia"/>
          <w:bCs/>
          <w:sz w:val="18"/>
          <w:szCs w:val="21"/>
        </w:rPr>
        <w:t>时</w:t>
      </w:r>
      <w:r>
        <w:rPr>
          <w:rFonts w:ascii="宋体" w:hAnsi="宋体" w:cs="宋体"/>
          <w:bCs/>
          <w:sz w:val="18"/>
          <w:szCs w:val="21"/>
        </w:rPr>
        <w:t>请</w:t>
      </w:r>
      <w:r>
        <w:rPr>
          <w:rFonts w:ascii="宋体" w:hAnsi="宋体" w:cs="宋体" w:hint="eastAsia"/>
          <w:bCs/>
          <w:sz w:val="18"/>
          <w:szCs w:val="21"/>
        </w:rPr>
        <w:t>务必确认好位置。</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F</w:t>
      </w:r>
      <w:r>
        <w:rPr>
          <w:rFonts w:ascii="华文楷体" w:eastAsia="华文楷体" w:hAnsi="华文楷体"/>
          <w:b/>
          <w:sz w:val="36"/>
          <w:szCs w:val="36"/>
        </w:rPr>
        <w:t>IB</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245"/>
        <w:gridCol w:w="2126"/>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245" w:type="dxa"/>
            <w:vAlign w:val="center"/>
          </w:tcPr>
          <w:p>
            <w:pPr>
              <w:rPr>
                <w:rFonts w:ascii="华文楷体" w:eastAsia="华文楷体" w:hAnsi="华文楷体"/>
                <w:sz w:val="18"/>
                <w:szCs w:val="18"/>
              </w:rPr>
            </w:pPr>
          </w:p>
        </w:tc>
        <w:tc>
          <w:tcPr>
            <w:tcW w:w="2126"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245" w:type="dxa"/>
            <w:vAlign w:val="center"/>
          </w:tcPr>
          <w:p>
            <w:pPr>
              <w:rPr>
                <w:rFonts w:ascii="华文楷体" w:eastAsia="华文楷体" w:hAnsi="华文楷体"/>
                <w:sz w:val="18"/>
                <w:szCs w:val="18"/>
              </w:rPr>
            </w:pPr>
          </w:p>
        </w:tc>
        <w:tc>
          <w:tcPr>
            <w:tcW w:w="2126"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8930" w:type="dxa"/>
            <w:gridSpan w:val="3"/>
            <w:vAlign w:val="center"/>
          </w:tcPr>
          <w:p>
            <w:pPr>
              <w:spacing w:line="276" w:lineRule="auto"/>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弱磁（含有磁性元素，磁铁吸不起来）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强磁（含有磁性元素，磁铁能吸起来）</w:t>
            </w:r>
            <w:r>
              <w:rPr>
                <w:rFonts w:ascii="华文楷体" w:eastAsia="华文楷体" w:hAnsi="华文楷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M</w:t>
            </w:r>
            <w:r>
              <w:rPr>
                <w:rFonts w:ascii="华文楷体" w:eastAsia="华文楷体" w:hAnsi="华文楷体" w:hint="eastAsia"/>
                <w:color w:val="FF0000"/>
                <w:sz w:val="18"/>
                <w:szCs w:val="18"/>
              </w:rPr>
              <w:t>n</w:t>
            </w:r>
            <w:r>
              <w:rPr>
                <w:rFonts w:ascii="华文楷体" w:eastAsia="华文楷体" w:hAnsi="华文楷体"/>
                <w:color w:val="FF0000"/>
                <w:sz w:val="18"/>
                <w:szCs w:val="18"/>
              </w:rPr>
              <w:t xml:space="preserve"> 等</w:t>
            </w:r>
            <w:r>
              <w:rPr>
                <w:rFonts w:ascii="华文楷体" w:eastAsia="华文楷体" w:hAnsi="华文楷体" w:hint="eastAsia"/>
                <w:color w:val="FF0000"/>
                <w:sz w:val="18"/>
                <w:szCs w:val="18"/>
              </w:rPr>
              <w:t>为磁性元素</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□S</w:t>
            </w:r>
            <w:r>
              <w:rPr>
                <w:rFonts w:ascii="华文楷体" w:eastAsia="华文楷体" w:hAnsi="华文楷体" w:cs="宋体"/>
                <w:sz w:val="18"/>
                <w:szCs w:val="18"/>
              </w:rPr>
              <w:t>EM</w:t>
            </w:r>
            <w:r>
              <w:rPr>
                <w:rFonts w:ascii="华文楷体" w:eastAsia="华文楷体" w:hAnsi="华文楷体" w:cs="宋体" w:hint="eastAsia"/>
                <w:sz w:val="18"/>
                <w:szCs w:val="18"/>
              </w:rPr>
              <w:t xml:space="preserve">剖面分析 </w:t>
            </w:r>
            <w:r>
              <w:rPr>
                <w:rFonts w:ascii="华文楷体" w:eastAsia="华文楷体" w:hAnsi="华文楷体" w:cs="宋体"/>
                <w:sz w:val="18"/>
                <w:szCs w:val="18"/>
              </w:rPr>
              <w:t xml:space="preserve">          </w:t>
            </w:r>
            <w:r>
              <w:rPr>
                <w:rFonts w:ascii="华文楷体" w:eastAsia="华文楷体" w:hAnsi="华文楷体" w:cs="宋体" w:hint="eastAsia"/>
                <w:sz w:val="18"/>
                <w:szCs w:val="18"/>
              </w:rPr>
              <w:t>□T</w:t>
            </w:r>
            <w:r>
              <w:rPr>
                <w:rFonts w:ascii="华文楷体" w:eastAsia="华文楷体" w:hAnsi="华文楷体" w:cs="宋体"/>
                <w:sz w:val="18"/>
                <w:szCs w:val="18"/>
              </w:rPr>
              <w:t>EM</w:t>
            </w:r>
            <w:r>
              <w:rPr>
                <w:rFonts w:ascii="华文楷体" w:eastAsia="华文楷体" w:hAnsi="华文楷体" w:cs="宋体" w:hint="eastAsia"/>
                <w:sz w:val="18"/>
                <w:szCs w:val="18"/>
              </w:rPr>
              <w:t xml:space="preserve">制样 </w:t>
            </w:r>
            <w:r>
              <w:rPr>
                <w:rFonts w:ascii="华文楷体" w:eastAsia="华文楷体" w:hAnsi="华文楷体" w:cs="宋体"/>
                <w:sz w:val="18"/>
                <w:szCs w:val="18"/>
              </w:rPr>
              <w:t xml:space="preserve">            </w:t>
            </w:r>
            <w:r>
              <w:rPr>
                <w:rFonts w:ascii="华文楷体" w:eastAsia="华文楷体" w:hAnsi="华文楷体" w:cs="宋体" w:hint="eastAsia"/>
                <w:sz w:val="18"/>
                <w:szCs w:val="18"/>
              </w:rPr>
              <w:t>□三维重构</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是否需要视频定位</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□是，需要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□否，不需要</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是否需要喷金</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□是，需要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□否，不需要</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备注：需要填写详细的测试要求方法以及要求。</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F941E4"/>
    <w:multiLevelType w:val="hybridMultilevel"/>
    <w:tmpl w:val="59627A8C"/>
    <w:lvl w:ilvl="0" w:tplc="A208B2A0">
      <w:start w:val="1"/>
      <w:numFmt w:val="decimal"/>
      <w:lvlText w:val="%1、"/>
      <w:lvlJc w:val="left"/>
      <w:pPr>
        <w:ind w:left="780" w:hanging="360"/>
      </w:pPr>
      <w:rPr>
        <w:rFonts w:ascii="宋体" w:eastAsia="宋体" w:hAnsi="宋体" w:cs="宋体" w:hint="default"/>
        <w:sz w:val="18"/>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51DC3CC5"/>
    <w:multiLevelType w:val="multilevel"/>
    <w:tmpl w:val="88EC2B00"/>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5E00E06-7402-4B76-ACCF-6F191C1C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4E7D09-1A1B-47E7-92E6-077E7F8B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