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粉体样品需要提供20mg以上，液体样品需要提供0.5ml以上；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样品需易溶于水、甲醇或乙腈等溶剂。</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若样品含有无机盐离子，可自行除盐后寄样，或指定配备除盐配件的LCMS仪器。样品需要在常规溶剂中溶解性较好；</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常规测试只能提供样品出峰时间以及半定量结果，无法区分每个峰是什么物质，如果需要定性以及定量分析的，需要自行提供标样，一个浓度标样算一个样品计费。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所有色谱质谱类测试，涉及参数往往很多。我们会依据您的参考文献，结合实验室现存条件与经验，尽量使用相同或者相似的参数或配件。由于测试影响因素太多，没有办法保证测试参数或结果完全符合您的预期；</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液相色谱是室温环境测试，因此当环境条件改变时同一成分的保留时间和强度等都会有差异，因此不同批测试的数据可能没有办法进行对比；</w:t>
      </w:r>
    </w:p>
    <w:p>
      <w:pPr>
        <w:spacing w:line="360" w:lineRule="auto"/>
        <w:jc w:val="left"/>
        <w:rPr>
          <w:rFonts w:ascii="宋体" w:hAnsi="宋体" w:cs="宋体"/>
          <w:bCs/>
          <w:szCs w:val="21"/>
        </w:rPr>
      </w:pP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w:t>
            </w:r>
            <w:r>
              <w:rPr>
                <w:rFonts w:ascii="华文楷体" w:eastAsia="华文楷体" w:hAnsi="华文楷体" w:hint="eastAsia"/>
                <w:sz w:val="18"/>
                <w:szCs w:val="18"/>
              </w:rPr>
              <w:t>2</w:t>
            </w:r>
            <w:r>
              <w:rPr>
                <w:rFonts w:ascii="华文楷体" w:eastAsia="华文楷体" w:hAnsi="华文楷体"/>
                <w:sz w:val="18"/>
                <w:szCs w:val="18"/>
              </w:rPr>
              <w:t>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液相色谱测试要求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□LC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□L</w:t>
            </w:r>
            <w:r>
              <w:rPr>
                <w:rFonts w:ascii="华文楷体" w:eastAsia="华文楷体" w:hAnsi="华文楷体" w:cs="宋体"/>
                <w:sz w:val="18"/>
                <w:szCs w:val="18"/>
              </w:rPr>
              <w:t>C</w:t>
            </w:r>
            <w:r>
              <w:rPr>
                <w:rFonts w:ascii="华文楷体" w:eastAsia="华文楷体" w:hAnsi="华文楷体" w:cs="宋体" w:hint="eastAsia"/>
                <w:sz w:val="18"/>
                <w:szCs w:val="18"/>
              </w:rPr>
              <w:t>定性定量分析</w:t>
            </w:r>
          </w:p>
        </w:tc>
      </w:tr>
      <w:tr>
        <w:trPr>
          <w:trHeight w:val="134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vAlign w:val="center"/>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备注：请详细说明测试条件要求，包括色谱柱要求、流动相，检测器类型等信息。如有其他测试要求，或者需要测试过程特别注意的，请一并说明。</w:t>
            </w:r>
          </w:p>
          <w:p>
            <w:pPr>
              <w:adjustRightInd w:val="0"/>
              <w:snapToGrid w:val="0"/>
              <w:rPr>
                <w:rFonts w:ascii="华文楷体" w:eastAsia="华文楷体" w:hAnsi="华文楷体" w:cs="宋体"/>
                <w:sz w:val="18"/>
                <w:szCs w:val="18"/>
                <w:u w:val="single"/>
              </w:rPr>
            </w:pPr>
          </w:p>
          <w:p>
            <w:pPr>
              <w:adjustRightInd w:val="0"/>
              <w:snapToGrid w:val="0"/>
              <w:rPr>
                <w:rFonts w:ascii="华文楷体" w:eastAsia="华文楷体" w:hAnsi="华文楷体" w:cs="宋体"/>
                <w:sz w:val="18"/>
                <w:szCs w:val="18"/>
                <w:u w:val="single"/>
              </w:rPr>
            </w:pPr>
          </w:p>
          <w:p>
            <w:pPr>
              <w:adjustRightInd w:val="0"/>
              <w:snapToGrid w:val="0"/>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598E"/>
    <w:multiLevelType w:val="multilevel"/>
    <w:tmpl w:val="048A598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6C41938"/>
    <w:multiLevelType w:val="multilevel"/>
    <w:tmpl w:val="16C4193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C41129D"/>
    <w:multiLevelType w:val="multilevel"/>
    <w:tmpl w:val="7C41129D"/>
    <w:lvl w:ilvl="0">
      <w:start w:val="1"/>
      <w:numFmt w:val="decimal"/>
      <w:lvlText w:val="%1)"/>
      <w:lvlJc w:val="left"/>
      <w:pPr>
        <w:ind w:left="84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4"/>
  </w:num>
  <w:num w:numId="3">
    <w:abstractNumId w:val="3"/>
  </w:num>
  <w:num w:numId="4">
    <w:abstractNumId w:val="2"/>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B118357-6B5A-4DD8-9F31-A15A92E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94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414E7-5140-4C54-A82E-EC5BD0B56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67</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