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spacing w:line="276" w:lineRule="auto"/>
        <w:ind w:firstLineChars="300" w:firstLine="540"/>
        <w:jc w:val="left"/>
        <w:rPr>
          <w:rFonts w:ascii="宋体" w:hAnsi="宋体" w:cs="宋体"/>
          <w:bCs/>
          <w:sz w:val="18"/>
          <w:szCs w:val="21"/>
        </w:rPr>
      </w:pPr>
      <w:r>
        <w:rPr>
          <w:rFonts w:ascii="宋体" w:hAnsi="宋体" w:cs="宋体" w:hint="eastAsia"/>
          <w:bCs/>
          <w:sz w:val="18"/>
          <w:szCs w:val="21"/>
        </w:rPr>
        <w:t>对于氮气吸附，样品要求如下（若提供的样品量不足则保证不了结果的准确性）:</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比表面积有大概预期的前提下，</w:t>
      </w:r>
      <w:r>
        <w:rPr>
          <w:rFonts w:ascii="宋体" w:hAnsi="宋体" w:cs="宋体" w:hint="eastAsia"/>
          <w:b/>
          <w:bCs/>
          <w:color w:val="FF0000"/>
          <w:sz w:val="18"/>
          <w:szCs w:val="21"/>
        </w:rPr>
        <w:t>可用公式：比表面积（m2/g）*样品量（g）=1</w:t>
      </w:r>
      <w:r>
        <w:rPr>
          <w:rFonts w:ascii="宋体" w:hAnsi="宋体" w:cs="宋体"/>
          <w:b/>
          <w:bCs/>
          <w:color w:val="FF0000"/>
          <w:sz w:val="18"/>
          <w:szCs w:val="21"/>
        </w:rPr>
        <w:t>0</w:t>
      </w:r>
      <w:r>
        <w:rPr>
          <w:rFonts w:ascii="宋体" w:hAnsi="宋体" w:cs="宋体" w:hint="eastAsia"/>
          <w:b/>
          <w:bCs/>
          <w:color w:val="FF0000"/>
          <w:sz w:val="18"/>
          <w:szCs w:val="21"/>
        </w:rPr>
        <w:t>-20m2来大致确定所需样品量，测试老师会根据实际情况来确定测试样品量（一般最多能放2g）。</w:t>
      </w:r>
      <w:r>
        <w:rPr>
          <w:rFonts w:ascii="宋体" w:hAnsi="宋体" w:cs="宋体" w:hint="eastAsia"/>
          <w:bCs/>
          <w:sz w:val="18"/>
          <w:szCs w:val="21"/>
        </w:rPr>
        <w:t>针对比表面积大于400m2/g的样品，为了减少称量误差，建议样品量不要少于50mg。</w:t>
      </w:r>
      <w:r>
        <w:rPr>
          <w:rFonts w:ascii="宋体" w:hAnsi="宋体" w:cs="宋体" w:hint="eastAsia"/>
          <w:b/>
          <w:bCs/>
          <w:color w:val="FF0000"/>
          <w:sz w:val="18"/>
          <w:szCs w:val="21"/>
        </w:rPr>
        <w:t>预约时请写清楚比表面积范围，如果由于样品量少导致结果不准确，我们一般不安排复测</w:t>
      </w:r>
      <w:r>
        <w:rPr>
          <w:rFonts w:ascii="宋体" w:hAnsi="宋体" w:cs="宋体" w:hint="eastAsia"/>
          <w:bCs/>
          <w:sz w:val="18"/>
          <w:szCs w:val="21"/>
        </w:rPr>
        <w:t>；</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在不知道比表面积情况下，一般</w:t>
      </w:r>
      <w:proofErr w:type="gramStart"/>
      <w:r>
        <w:rPr>
          <w:rFonts w:ascii="宋体" w:hAnsi="宋体" w:cs="宋体" w:hint="eastAsia"/>
          <w:bCs/>
          <w:sz w:val="18"/>
          <w:szCs w:val="21"/>
        </w:rPr>
        <w:t>测试全孔</w:t>
      </w:r>
      <w:proofErr w:type="gramEnd"/>
      <w:r>
        <w:rPr>
          <w:rFonts w:ascii="宋体" w:hAnsi="宋体" w:cs="宋体" w:hint="eastAsia"/>
          <w:bCs/>
          <w:sz w:val="18"/>
          <w:szCs w:val="21"/>
        </w:rPr>
        <w:t>和微孔模式质量要100mg以上（前提是样品中有微孔），测试</w:t>
      </w:r>
      <w:proofErr w:type="gramStart"/>
      <w:r>
        <w:rPr>
          <w:rFonts w:ascii="宋体" w:hAnsi="宋体" w:cs="宋体" w:hint="eastAsia"/>
          <w:bCs/>
          <w:sz w:val="18"/>
          <w:szCs w:val="21"/>
        </w:rPr>
        <w:t>介孔模式</w:t>
      </w:r>
      <w:proofErr w:type="gramEnd"/>
      <w:r>
        <w:rPr>
          <w:rFonts w:ascii="宋体" w:hAnsi="宋体" w:cs="宋体" w:hint="eastAsia"/>
          <w:bCs/>
          <w:sz w:val="18"/>
          <w:szCs w:val="21"/>
        </w:rPr>
        <w:t>需要250mg以上。</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6"/>
          <w:szCs w:val="21"/>
        </w:rPr>
      </w:pPr>
      <w:r>
        <w:rPr>
          <w:rFonts w:ascii="宋体" w:hAnsi="宋体" w:cs="宋体" w:hint="eastAsia"/>
          <w:bCs/>
          <w:sz w:val="16"/>
          <w:szCs w:val="21"/>
        </w:rPr>
        <w:t>一般都是粉末样品，如是</w:t>
      </w:r>
      <w:proofErr w:type="gramStart"/>
      <w:r>
        <w:rPr>
          <w:rFonts w:ascii="宋体" w:hAnsi="宋体" w:cs="宋体" w:hint="eastAsia"/>
          <w:bCs/>
          <w:sz w:val="16"/>
          <w:szCs w:val="21"/>
        </w:rPr>
        <w:t>颗粒状请尽量</w:t>
      </w:r>
      <w:proofErr w:type="gramEnd"/>
      <w:r>
        <w:rPr>
          <w:rFonts w:ascii="宋体" w:hAnsi="宋体" w:cs="宋体" w:hint="eastAsia"/>
          <w:bCs/>
          <w:sz w:val="16"/>
          <w:szCs w:val="21"/>
        </w:rPr>
        <w:t>物理粉碎得比较小，一般要求在3mm以下。为方便取样，请不要用自封袋装样；</w:t>
      </w:r>
    </w:p>
    <w:p>
      <w:pPr>
        <w:pStyle w:val="af"/>
        <w:numPr>
          <w:ilvl w:val="0"/>
          <w:numId w:val="5"/>
        </w:numPr>
        <w:spacing w:line="276" w:lineRule="auto"/>
        <w:ind w:firstLineChars="0"/>
        <w:jc w:val="left"/>
        <w:rPr>
          <w:rFonts w:ascii="宋体" w:hAnsi="宋体" w:cs="宋体"/>
          <w:bCs/>
          <w:sz w:val="16"/>
          <w:szCs w:val="21"/>
        </w:rPr>
      </w:pPr>
      <w:r>
        <w:rPr>
          <w:rFonts w:ascii="宋体" w:hAnsi="宋体" w:cs="宋体" w:hint="eastAsia"/>
          <w:bCs/>
          <w:sz w:val="16"/>
          <w:szCs w:val="21"/>
        </w:rPr>
        <w:t>样品测试前需要进行前处理真空脱气，除去样品里面杂质以及空气，才能进行下一步吸附，脱气温度要求在样品稳定温度范围内，不能超过熔点/分解温度的二分之一。真空脱气实际温度要比烘箱高,如果样品加热易分解或爆炸需要提前沟通，否则后续有问题需自行承担；脱气温度一般不低于1</w:t>
      </w:r>
      <w:r>
        <w:rPr>
          <w:rFonts w:ascii="宋体" w:hAnsi="宋体" w:cs="宋体"/>
          <w:bCs/>
          <w:sz w:val="16"/>
          <w:szCs w:val="21"/>
        </w:rPr>
        <w:t>00</w:t>
      </w:r>
      <w:r>
        <w:rPr>
          <w:rFonts w:ascii="宋体" w:hAnsi="宋体" w:cs="宋体" w:hint="eastAsia"/>
          <w:bCs/>
          <w:sz w:val="16"/>
          <w:szCs w:val="21"/>
        </w:rPr>
        <w:t>摄氏度，脱气温度过低可能会导致样品处理不干净，影响吸附测试结果，</w:t>
      </w:r>
    </w:p>
    <w:p>
      <w:pPr>
        <w:pStyle w:val="af"/>
        <w:numPr>
          <w:ilvl w:val="0"/>
          <w:numId w:val="5"/>
        </w:numPr>
        <w:spacing w:line="276" w:lineRule="auto"/>
        <w:ind w:firstLineChars="0"/>
        <w:jc w:val="left"/>
        <w:rPr>
          <w:rFonts w:ascii="宋体" w:hAnsi="宋体" w:cs="宋体"/>
          <w:bCs/>
          <w:sz w:val="16"/>
          <w:szCs w:val="21"/>
        </w:rPr>
      </w:pPr>
      <w:r>
        <w:rPr>
          <w:rFonts w:ascii="宋体" w:hAnsi="宋体" w:cs="宋体" w:hint="eastAsia"/>
          <w:bCs/>
          <w:sz w:val="16"/>
          <w:szCs w:val="21"/>
        </w:rPr>
        <w:t>微孔孔径分布（0.5-2 nm）、介孔分布(2-50 nm)、全孔孔径分布（0.5-50 nm）。</w:t>
      </w:r>
    </w:p>
    <w:p>
      <w:pPr>
        <w:pStyle w:val="af"/>
        <w:numPr>
          <w:ilvl w:val="0"/>
          <w:numId w:val="5"/>
        </w:numPr>
        <w:spacing w:line="276" w:lineRule="auto"/>
        <w:ind w:firstLineChars="0"/>
        <w:jc w:val="left"/>
        <w:rPr>
          <w:rFonts w:ascii="宋体" w:hAnsi="宋体" w:cs="宋体"/>
          <w:bCs/>
          <w:sz w:val="16"/>
          <w:szCs w:val="21"/>
        </w:rPr>
      </w:pPr>
      <w:r>
        <w:rPr>
          <w:rFonts w:ascii="宋体" w:hAnsi="宋体" w:cs="宋体" w:hint="eastAsia"/>
          <w:bCs/>
          <w:sz w:val="16"/>
          <w:szCs w:val="21"/>
        </w:rPr>
        <w:t>测比表面只能得到比表面数据，得不到吸脱附曲线以及孔径分布曲线，测</w:t>
      </w:r>
      <w:proofErr w:type="gramStart"/>
      <w:r>
        <w:rPr>
          <w:rFonts w:ascii="宋体" w:hAnsi="宋体" w:cs="宋体" w:hint="eastAsia"/>
          <w:bCs/>
          <w:sz w:val="16"/>
          <w:szCs w:val="21"/>
        </w:rPr>
        <w:t>介孔以及全孔</w:t>
      </w:r>
      <w:proofErr w:type="gramEnd"/>
      <w:r>
        <w:rPr>
          <w:rFonts w:ascii="宋体" w:hAnsi="宋体" w:cs="宋体" w:hint="eastAsia"/>
          <w:bCs/>
          <w:sz w:val="16"/>
          <w:szCs w:val="21"/>
        </w:rPr>
        <w:t>可以得到吸脱附曲线跟孔径分布曲线。</w:t>
      </w: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b/>
          <w:sz w:val="36"/>
          <w:szCs w:val="36"/>
        </w:rPr>
        <w:t>BET</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预处理条件</w:t>
            </w:r>
          </w:p>
        </w:tc>
        <w:tc>
          <w:tcPr>
            <w:tcW w:w="8930" w:type="dxa"/>
            <w:gridSpan w:val="3"/>
          </w:tcPr>
          <w:p>
            <w:pPr>
              <w:rPr>
                <w:rFonts w:ascii="华文楷体" w:eastAsia="华文楷体" w:hAnsi="华文楷体"/>
                <w:color w:val="000000" w:themeColor="text1"/>
                <w:sz w:val="18"/>
                <w:szCs w:val="18"/>
              </w:rPr>
            </w:pPr>
            <w:r>
              <w:rPr>
                <w:rFonts w:ascii="华文楷体" w:eastAsia="华文楷体" w:hAnsi="华文楷体" w:hint="eastAsia"/>
                <w:color w:val="000000" w:themeColor="text1"/>
                <w:sz w:val="18"/>
                <w:szCs w:val="18"/>
              </w:rPr>
              <w:t>脱气温度：</w:t>
            </w:r>
            <w:r>
              <w:rPr>
                <w:rFonts w:ascii="华文楷体" w:eastAsia="华文楷体" w:hAnsi="华文楷体" w:hint="eastAsia"/>
                <w:color w:val="000000" w:themeColor="text1"/>
                <w:sz w:val="18"/>
                <w:szCs w:val="18"/>
                <w:u w:val="single"/>
              </w:rPr>
              <w:t xml:space="preserve">              </w:t>
            </w:r>
            <w:r>
              <w:rPr>
                <w:rFonts w:ascii="华文楷体" w:eastAsia="华文楷体" w:hAnsi="华文楷体" w:hint="eastAsia"/>
                <w:color w:val="000000" w:themeColor="text1"/>
                <w:sz w:val="18"/>
                <w:szCs w:val="18"/>
              </w:rPr>
              <w:t>摄氏度  脱气时间：</w:t>
            </w:r>
            <w:r>
              <w:rPr>
                <w:rFonts w:ascii="华文楷体" w:eastAsia="华文楷体" w:hAnsi="华文楷体" w:hint="eastAsia"/>
                <w:color w:val="000000" w:themeColor="text1"/>
                <w:sz w:val="18"/>
                <w:szCs w:val="18"/>
                <w:u w:val="single"/>
              </w:rPr>
              <w:t xml:space="preserve"> </w:t>
            </w:r>
            <w:r>
              <w:rPr>
                <w:rFonts w:ascii="华文楷体" w:eastAsia="华文楷体" w:hAnsi="华文楷体"/>
                <w:color w:val="000000" w:themeColor="text1"/>
                <w:sz w:val="18"/>
                <w:szCs w:val="18"/>
                <w:u w:val="single"/>
              </w:rPr>
              <w:t xml:space="preserve">       </w:t>
            </w:r>
            <w:r>
              <w:rPr>
                <w:rFonts w:ascii="华文楷体" w:eastAsia="华文楷体" w:hAnsi="华文楷体" w:hint="eastAsia"/>
                <w:color w:val="000000" w:themeColor="text1"/>
                <w:sz w:val="18"/>
                <w:szCs w:val="18"/>
              </w:rPr>
              <w:t>h</w:t>
            </w:r>
          </w:p>
          <w:p>
            <w:pPr>
              <w:rPr>
                <w:rFonts w:ascii="华文楷体" w:eastAsia="华文楷体" w:hAnsi="华文楷体" w:cs="宋体"/>
                <w:sz w:val="18"/>
                <w:szCs w:val="18"/>
                <w:u w:val="single"/>
              </w:rPr>
            </w:pPr>
            <w:r>
              <w:rPr>
                <w:rFonts w:ascii="华文楷体" w:eastAsia="华文楷体" w:hAnsi="华文楷体" w:hint="eastAsia"/>
                <w:color w:val="FF0000"/>
                <w:sz w:val="18"/>
                <w:szCs w:val="18"/>
              </w:rPr>
              <w:t>注：前处理时间一般不超过1</w:t>
            </w:r>
            <w:r>
              <w:rPr>
                <w:rFonts w:ascii="华文楷体" w:eastAsia="华文楷体" w:hAnsi="华文楷体"/>
                <w:color w:val="FF0000"/>
                <w:sz w:val="18"/>
                <w:szCs w:val="18"/>
              </w:rPr>
              <w:t>2</w:t>
            </w:r>
            <w:r>
              <w:rPr>
                <w:rFonts w:ascii="华文楷体" w:eastAsia="华文楷体" w:hAnsi="华文楷体" w:hint="eastAsia"/>
                <w:color w:val="FF0000"/>
                <w:sz w:val="18"/>
                <w:szCs w:val="18"/>
              </w:rPr>
              <w:t>小时，超过1</w:t>
            </w:r>
            <w:r>
              <w:rPr>
                <w:rFonts w:ascii="华文楷体" w:eastAsia="华文楷体" w:hAnsi="华文楷体"/>
                <w:color w:val="FF0000"/>
                <w:sz w:val="18"/>
                <w:szCs w:val="18"/>
              </w:rPr>
              <w:t>2</w:t>
            </w:r>
            <w:r>
              <w:rPr>
                <w:rFonts w:ascii="华文楷体" w:eastAsia="华文楷体" w:hAnsi="华文楷体" w:hint="eastAsia"/>
                <w:color w:val="FF0000"/>
                <w:sz w:val="18"/>
                <w:szCs w:val="18"/>
              </w:rPr>
              <w:t>小时提前沟通确认。</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具体项目</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□只测比表面积（无吸脱附曲线）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□介孔（包括比表面+介孔分布）  □全孔（包括比表面+介/微孔分布）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预期比表面大小范围</w:t>
            </w:r>
          </w:p>
        </w:tc>
        <w:tc>
          <w:tcPr>
            <w:tcW w:w="8930" w:type="dxa"/>
            <w:gridSpan w:val="3"/>
          </w:tcPr>
          <w:p>
            <w:pPr>
              <w:spacing w:line="276" w:lineRule="auto"/>
              <w:rPr>
                <w:rFonts w:ascii="华文楷体" w:eastAsia="华文楷体" w:hAnsi="华文楷体"/>
                <w:sz w:val="18"/>
                <w:szCs w:val="18"/>
              </w:rPr>
            </w:pPr>
            <w:r>
              <w:rPr>
                <w:rFonts w:ascii="华文楷体" w:eastAsia="华文楷体" w:hAnsi="华文楷体" w:hint="eastAsia"/>
                <w:sz w:val="18"/>
                <w:szCs w:val="18"/>
              </w:rPr>
              <w:t xml:space="preserve">□不清楚，没有相关资料 </w:t>
            </w:r>
            <w:r>
              <w:rPr>
                <w:rFonts w:ascii="华文楷体" w:eastAsia="华文楷体" w:hAnsi="华文楷体"/>
                <w:sz w:val="18"/>
                <w:szCs w:val="18"/>
              </w:rPr>
              <w:t xml:space="preserve">           </w:t>
            </w:r>
            <w:r>
              <w:rPr>
                <w:rFonts w:ascii="华文楷体" w:eastAsia="华文楷体" w:hAnsi="华文楷体" w:hint="eastAsia"/>
                <w:sz w:val="18"/>
                <w:szCs w:val="18"/>
              </w:rPr>
              <w:t>□了解，大概范围在</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rPr>
              <w:t>m</w:t>
            </w:r>
            <w:r>
              <w:rPr>
                <w:rFonts w:ascii="华文楷体" w:eastAsia="华文楷体" w:hAnsi="华文楷体"/>
                <w:sz w:val="18"/>
                <w:szCs w:val="18"/>
              </w:rPr>
              <w:t>2/</w:t>
            </w:r>
            <w:r>
              <w:rPr>
                <w:rFonts w:ascii="华文楷体" w:eastAsia="华文楷体" w:hAnsi="华文楷体" w:hint="eastAsia"/>
                <w:sz w:val="18"/>
                <w:szCs w:val="18"/>
              </w:rPr>
              <w:t>g</w:t>
            </w:r>
          </w:p>
          <w:p>
            <w:pPr>
              <w:rPr>
                <w:rFonts w:ascii="华文楷体" w:eastAsia="华文楷体" w:hAnsi="华文楷体" w:cs="宋体"/>
                <w:sz w:val="18"/>
                <w:szCs w:val="18"/>
              </w:rPr>
            </w:pPr>
            <w:r>
              <w:rPr>
                <w:rFonts w:ascii="华文楷体" w:eastAsia="华文楷体" w:hAnsi="华文楷体" w:hint="eastAsia"/>
                <w:color w:val="FF0000"/>
                <w:sz w:val="18"/>
                <w:szCs w:val="18"/>
              </w:rPr>
              <w:t>注：比表面大小对测试结果影响很大，小比表面材料一般需要增加样品量来保证结果，即便如此，对于比表面小于5 cm</w:t>
            </w:r>
            <w:r>
              <w:rPr>
                <w:rFonts w:ascii="华文楷体" w:eastAsia="华文楷体" w:hAnsi="华文楷体"/>
                <w:color w:val="FF0000"/>
                <w:sz w:val="18"/>
                <w:szCs w:val="18"/>
              </w:rPr>
              <w:t>2/</w:t>
            </w:r>
            <w:r>
              <w:rPr>
                <w:rFonts w:ascii="华文楷体" w:eastAsia="华文楷体" w:hAnsi="华文楷体" w:hint="eastAsia"/>
                <w:color w:val="FF0000"/>
                <w:sz w:val="18"/>
                <w:szCs w:val="18"/>
              </w:rPr>
              <w:t>g的材料，测试效果一般都不佳，请悉知。</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测试仪器</w:t>
            </w:r>
          </w:p>
        </w:tc>
        <w:tc>
          <w:tcPr>
            <w:tcW w:w="8930" w:type="dxa"/>
            <w:gridSpan w:val="3"/>
          </w:tcPr>
          <w:p>
            <w:pPr>
              <w:spacing w:line="276" w:lineRule="auto"/>
              <w:rPr>
                <w:rFonts w:ascii="华文楷体" w:eastAsia="华文楷体" w:hAnsi="华文楷体"/>
                <w:sz w:val="18"/>
                <w:szCs w:val="18"/>
              </w:rPr>
            </w:pPr>
            <w:r>
              <w:rPr>
                <w:rFonts w:ascii="华文楷体" w:eastAsia="华文楷体" w:hAnsi="华文楷体" w:hint="eastAsia"/>
                <w:sz w:val="18"/>
                <w:szCs w:val="18"/>
              </w:rPr>
              <w:t xml:space="preserve">□无要求 </w:t>
            </w:r>
            <w:r>
              <w:rPr>
                <w:rFonts w:ascii="华文楷体" w:eastAsia="华文楷体" w:hAnsi="华文楷体"/>
                <w:sz w:val="18"/>
                <w:szCs w:val="18"/>
              </w:rPr>
              <w:t xml:space="preserve">          </w:t>
            </w:r>
            <w:r>
              <w:rPr>
                <w:rFonts w:ascii="华文楷体" w:eastAsia="华文楷体" w:hAnsi="华文楷体" w:hint="eastAsia"/>
                <w:sz w:val="18"/>
                <w:szCs w:val="18"/>
              </w:rPr>
              <w:t xml:space="preserve">□麦克仪器 </w:t>
            </w:r>
            <w:r>
              <w:rPr>
                <w:rFonts w:ascii="华文楷体" w:eastAsia="华文楷体" w:hAnsi="华文楷体"/>
                <w:sz w:val="18"/>
                <w:szCs w:val="18"/>
              </w:rPr>
              <w:t xml:space="preserve">          </w:t>
            </w:r>
            <w:r>
              <w:rPr>
                <w:rFonts w:ascii="华文楷体" w:eastAsia="华文楷体" w:hAnsi="华文楷体" w:hint="eastAsia"/>
                <w:sz w:val="18"/>
                <w:szCs w:val="18"/>
              </w:rPr>
              <w:t xml:space="preserve">□康塔仪器 </w:t>
            </w:r>
            <w:r>
              <w:rPr>
                <w:rFonts w:ascii="华文楷体" w:eastAsia="华文楷体" w:hAnsi="华文楷体"/>
                <w:sz w:val="18"/>
                <w:szCs w:val="18"/>
              </w:rPr>
              <w:t xml:space="preserve">        </w:t>
            </w:r>
            <w:r>
              <w:rPr>
                <w:rFonts w:ascii="华文楷体" w:eastAsia="华文楷体" w:hAnsi="华文楷体" w:hint="eastAsia"/>
                <w:sz w:val="18"/>
                <w:szCs w:val="18"/>
              </w:rPr>
              <w:t>□其他</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p>
          <w:p>
            <w:pPr>
              <w:rPr>
                <w:rFonts w:ascii="华文楷体" w:eastAsia="华文楷体" w:hAnsi="华文楷体" w:cs="宋体"/>
                <w:color w:val="FF0000"/>
                <w:sz w:val="18"/>
                <w:szCs w:val="18"/>
              </w:rPr>
            </w:pPr>
            <w:r>
              <w:rPr>
                <w:rFonts w:ascii="华文楷体" w:eastAsia="华文楷体" w:hAnsi="华文楷体" w:hint="eastAsia"/>
                <w:color w:val="FF0000"/>
                <w:sz w:val="18"/>
                <w:szCs w:val="18"/>
              </w:rPr>
              <w:t>注：小比表面材料（小于1</w:t>
            </w:r>
            <w:r>
              <w:rPr>
                <w:rFonts w:ascii="华文楷体" w:eastAsia="华文楷体" w:hAnsi="华文楷体"/>
                <w:color w:val="FF0000"/>
                <w:sz w:val="18"/>
                <w:szCs w:val="18"/>
              </w:rPr>
              <w:t>0</w:t>
            </w:r>
            <w:r>
              <w:rPr>
                <w:rFonts w:ascii="华文楷体" w:eastAsia="华文楷体" w:hAnsi="华文楷体" w:hint="eastAsia"/>
                <w:color w:val="FF0000"/>
                <w:sz w:val="18"/>
                <w:szCs w:val="18"/>
              </w:rPr>
              <w:t>cm</w:t>
            </w:r>
            <w:r>
              <w:rPr>
                <w:rFonts w:ascii="华文楷体" w:eastAsia="华文楷体" w:hAnsi="华文楷体"/>
                <w:color w:val="FF0000"/>
                <w:sz w:val="18"/>
                <w:szCs w:val="18"/>
              </w:rPr>
              <w:t>2/</w:t>
            </w:r>
            <w:r>
              <w:rPr>
                <w:rFonts w:ascii="华文楷体" w:eastAsia="华文楷体" w:hAnsi="华文楷体" w:hint="eastAsia"/>
                <w:color w:val="FF0000"/>
                <w:sz w:val="18"/>
                <w:szCs w:val="18"/>
              </w:rPr>
              <w:t>g）测试效果较差，用康塔仪器来</w:t>
            </w:r>
            <w:proofErr w:type="gramStart"/>
            <w:r>
              <w:rPr>
                <w:rFonts w:ascii="华文楷体" w:eastAsia="华文楷体" w:hAnsi="华文楷体" w:hint="eastAsia"/>
                <w:color w:val="FF0000"/>
                <w:sz w:val="18"/>
                <w:szCs w:val="18"/>
              </w:rPr>
              <w:t>测比较</w:t>
            </w:r>
            <w:proofErr w:type="gramEnd"/>
            <w:r>
              <w:rPr>
                <w:rFonts w:ascii="华文楷体" w:eastAsia="华文楷体" w:hAnsi="华文楷体" w:hint="eastAsia"/>
                <w:color w:val="FF0000"/>
                <w:sz w:val="18"/>
                <w:szCs w:val="18"/>
              </w:rPr>
              <w:t>好。</w:t>
            </w:r>
          </w:p>
        </w:tc>
      </w:tr>
      <w:tr>
        <w:trPr>
          <w:trHeight w:val="143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备注</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如有需要特别注意的要求，如测试仪器型号、测试周期、用样品量等信息，请提前说明。</w:t>
            </w:r>
          </w:p>
          <w:p>
            <w:pPr>
              <w:spacing w:beforeLines="50" w:before="156" w:afterLines="50" w:after="156"/>
              <w:rPr>
                <w:rFonts w:ascii="华文楷体" w:eastAsia="华文楷体" w:hAnsi="华文楷体" w:cs="宋体"/>
                <w:color w:val="FF0000"/>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4518"/>
    <w:multiLevelType w:val="multilevel"/>
    <w:tmpl w:val="04364518"/>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AEC5E58"/>
    <w:multiLevelType w:val="multilevel"/>
    <w:tmpl w:val="5AEC5E58"/>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710C2BE0-4EA8-46F5-9088-9EDF5948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BD0BBB-09BA-44A3-8AA0-E3D3B1E68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