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e"/>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e"/>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e"/>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e"/>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e"/>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e"/>
        <w:numPr>
          <w:ilvl w:val="0"/>
          <w:numId w:val="4"/>
        </w:numPr>
        <w:spacing w:line="276" w:lineRule="auto"/>
        <w:ind w:firstLineChars="0"/>
        <w:jc w:val="left"/>
        <w:rPr>
          <w:rFonts w:ascii="宋体" w:hAnsi="宋体" w:cs="宋体"/>
          <w:bCs/>
          <w:sz w:val="18"/>
          <w:szCs w:val="21"/>
        </w:rPr>
      </w:pPr>
      <w:r>
        <w:rPr>
          <w:rFonts w:ascii="宋体" w:hAnsi="宋体" w:cs="宋体"/>
          <w:bCs/>
          <w:sz w:val="18"/>
          <w:szCs w:val="21"/>
        </w:rPr>
        <w:t>粉末样品：细细的粉末5-10mg，在合适的溶剂中溶解性可以或者分散，常用溶剂为CDCl3甲苯、丙酮、甲醇、乙腈、三氟乙酸、水、乙酸乙酯、乙醚、THF</w:t>
      </w:r>
      <w:r>
        <w:rPr>
          <w:rFonts w:ascii="宋体" w:hAnsi="宋体" w:cs="宋体" w:hint="eastAsia"/>
          <w:bCs/>
          <w:sz w:val="18"/>
          <w:szCs w:val="21"/>
        </w:rPr>
        <w:t>；</w:t>
      </w:r>
    </w:p>
    <w:p>
      <w:pPr>
        <w:pStyle w:val="ae"/>
        <w:numPr>
          <w:ilvl w:val="0"/>
          <w:numId w:val="4"/>
        </w:numPr>
        <w:spacing w:line="276" w:lineRule="auto"/>
        <w:ind w:firstLineChars="0"/>
        <w:jc w:val="left"/>
        <w:rPr>
          <w:rFonts w:ascii="宋体" w:hAnsi="宋体" w:cs="宋体"/>
          <w:bCs/>
          <w:sz w:val="18"/>
          <w:szCs w:val="21"/>
        </w:rPr>
      </w:pPr>
      <w:r>
        <w:rPr>
          <w:rFonts w:ascii="宋体" w:hAnsi="宋体" w:cs="宋体"/>
          <w:bCs/>
          <w:sz w:val="18"/>
          <w:szCs w:val="21"/>
        </w:rPr>
        <w:t>液体样品：2mL，需要备注液体样品的具体浓度（一般要求不低于1mg/mL），以及缓冲液的成分（一般建议Tris，碳酸氢铵，浓度在20mM以下属于盐类，易电离，多的话干扰结果）</w:t>
      </w:r>
      <w:r>
        <w:rPr>
          <w:rFonts w:ascii="宋体" w:hAnsi="宋体" w:cs="宋体" w:hint="eastAsia"/>
          <w:bCs/>
          <w:sz w:val="18"/>
          <w:szCs w:val="21"/>
        </w:rPr>
        <w:t>。</w:t>
      </w:r>
    </w:p>
    <w:p>
      <w:pPr>
        <w:pStyle w:val="ae"/>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e"/>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样品种类一般为：蛋白质、核酸、多肽、大分子等。依据测试结果分为：低分辨和高分辨，低分辨精确到小数点后1-2位，高分辨精确到小数点后4位。一般分子量在一万以内测的比较精确，超过之后会有较大误差</w:t>
      </w:r>
      <w:r>
        <w:rPr>
          <w:rFonts w:ascii="宋体" w:hAnsi="宋体" w:cs="宋体" w:hint="eastAsia"/>
          <w:bCs/>
          <w:sz w:val="18"/>
          <w:szCs w:val="21"/>
        </w:rPr>
        <w:t>；</w:t>
      </w:r>
    </w:p>
    <w:p>
      <w:pPr>
        <w:pStyle w:val="ae"/>
        <w:numPr>
          <w:ilvl w:val="0"/>
          <w:numId w:val="5"/>
        </w:numPr>
        <w:spacing w:line="276" w:lineRule="auto"/>
        <w:ind w:firstLineChars="0"/>
        <w:jc w:val="left"/>
        <w:rPr>
          <w:rFonts w:ascii="宋体" w:hAnsi="宋体" w:cs="宋体"/>
          <w:bCs/>
          <w:sz w:val="18"/>
          <w:szCs w:val="21"/>
        </w:rPr>
      </w:pPr>
      <w:r>
        <w:rPr>
          <w:rFonts w:ascii="宋体" w:hAnsi="宋体" w:cs="宋体"/>
          <w:bCs/>
          <w:sz w:val="18"/>
          <w:szCs w:val="21"/>
        </w:rPr>
        <w:t>测试模式分为：线性模式和反射模式，默认为线性模式，如果需要反射模式请备注。模式下面又分为：正离子和负离子模式，分子结构不同，有的更容易带正电，有的更容易带负电，正离子看的是带正电的离子，</w:t>
      </w:r>
      <w:proofErr w:type="gramStart"/>
      <w:r>
        <w:rPr>
          <w:rFonts w:ascii="宋体" w:hAnsi="宋体" w:cs="宋体"/>
          <w:bCs/>
          <w:sz w:val="18"/>
          <w:szCs w:val="21"/>
        </w:rPr>
        <w:t>负离子看带负电</w:t>
      </w:r>
      <w:proofErr w:type="gramEnd"/>
      <w:r>
        <w:rPr>
          <w:rFonts w:ascii="宋体" w:hAnsi="宋体" w:cs="宋体"/>
          <w:bCs/>
          <w:sz w:val="18"/>
          <w:szCs w:val="21"/>
        </w:rPr>
        <w:t>的</w:t>
      </w:r>
      <w:r>
        <w:rPr>
          <w:rFonts w:ascii="宋体" w:hAnsi="宋体" w:cs="宋体" w:hint="eastAsia"/>
          <w:bCs/>
          <w:sz w:val="18"/>
          <w:szCs w:val="21"/>
        </w:rPr>
        <w:t>；</w:t>
      </w:r>
    </w:p>
    <w:p>
      <w:pPr>
        <w:pStyle w:val="ae"/>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基质选择</w:t>
      </w:r>
      <w:proofErr w:type="gramStart"/>
      <w:r>
        <w:rPr>
          <w:rFonts w:ascii="宋体" w:hAnsi="宋体" w:cs="宋体"/>
          <w:bCs/>
          <w:sz w:val="18"/>
          <w:szCs w:val="21"/>
        </w:rPr>
        <w:t>先建议查下</w:t>
      </w:r>
      <w:proofErr w:type="gramEnd"/>
      <w:r>
        <w:rPr>
          <w:rFonts w:ascii="宋体" w:hAnsi="宋体" w:cs="宋体"/>
          <w:bCs/>
          <w:sz w:val="18"/>
          <w:szCs w:val="21"/>
        </w:rPr>
        <w:t>文献，确认下自己的条件，一般是蛋白类样品建议SA ，1万以下的建议DHB或者CHCA，常规DHB或者CHCA适用于80%的样品。常规：SA—常用于蛋白大分子，DHB— 常用于肽段及小分子，CHCA—常用于肽段及部分小分子。</w:t>
      </w: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w:t>
            </w:r>
            <w:r>
              <w:rPr>
                <w:rFonts w:ascii="华文楷体" w:eastAsia="华文楷体" w:hAnsi="华文楷体" w:hint="eastAsia"/>
                <w:sz w:val="18"/>
                <w:szCs w:val="18"/>
              </w:rPr>
              <w:t>2</w:t>
            </w:r>
            <w:r>
              <w:rPr>
                <w:rFonts w:ascii="华文楷体" w:eastAsia="华文楷体" w:hAnsi="华文楷体"/>
                <w:sz w:val="18"/>
                <w:szCs w:val="18"/>
              </w:rPr>
              <w:t>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proofErr w:type="spellStart"/>
      <w:r>
        <w:rPr>
          <w:rFonts w:ascii="华文楷体" w:eastAsia="华文楷体" w:hAnsi="华文楷体"/>
          <w:b/>
          <w:sz w:val="36"/>
          <w:szCs w:val="36"/>
        </w:rPr>
        <w:t>Malditof</w:t>
      </w:r>
      <w:proofErr w:type="spellEnd"/>
      <w:r>
        <w:rPr>
          <w:rFonts w:ascii="华文楷体" w:eastAsia="华文楷体" w:hAnsi="华文楷体"/>
          <w:b/>
          <w:sz w:val="36"/>
          <w:szCs w:val="36"/>
        </w:rPr>
        <w:t xml:space="preserve"> </w:t>
      </w:r>
      <w:proofErr w:type="spellStart"/>
      <w:r>
        <w:rPr>
          <w:rFonts w:ascii="华文楷体" w:eastAsia="华文楷体" w:hAnsi="华文楷体" w:hint="eastAsia"/>
          <w:b/>
          <w:sz w:val="36"/>
          <w:szCs w:val="36"/>
        </w:rPr>
        <w:t>ms</w:t>
      </w:r>
      <w:proofErr w:type="spellEnd"/>
      <w:r>
        <w:rPr>
          <w:rFonts w:ascii="华文楷体" w:eastAsia="华文楷体" w:hAnsi="华文楷体" w:hint="eastAsia"/>
          <w:b/>
          <w:sz w:val="36"/>
          <w:szCs w:val="36"/>
        </w:rPr>
        <w:t>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245"/>
        <w:gridCol w:w="2126"/>
        <w:gridCol w:w="1559"/>
      </w:tblGrid>
      <w:tr>
        <w:trPr>
          <w:trHeight w:val="634"/>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245" w:type="dxa"/>
            <w:vAlign w:val="center"/>
          </w:tcPr>
          <w:p>
            <w:pPr>
              <w:spacing w:line="276" w:lineRule="auto"/>
              <w:rPr>
                <w:rFonts w:ascii="华文楷体" w:eastAsia="华文楷体" w:hAnsi="华文楷体"/>
                <w:sz w:val="18"/>
                <w:szCs w:val="18"/>
              </w:rPr>
            </w:pPr>
          </w:p>
        </w:tc>
        <w:tc>
          <w:tcPr>
            <w:tcW w:w="2126" w:type="dxa"/>
            <w:vAlign w:val="center"/>
          </w:tcPr>
          <w:p>
            <w:pPr>
              <w:spacing w:line="276" w:lineRule="auto"/>
              <w:rPr>
                <w:rFonts w:ascii="华文楷体" w:eastAsia="华文楷体" w:hAnsi="华文楷体"/>
                <w:sz w:val="18"/>
                <w:szCs w:val="18"/>
              </w:rPr>
            </w:pPr>
            <w:r>
              <w:rPr>
                <w:rFonts w:ascii="华文楷体" w:eastAsia="华文楷体" w:hAnsi="华文楷体" w:hint="eastAsia"/>
                <w:sz w:val="18"/>
                <w:szCs w:val="18"/>
              </w:rPr>
              <w:t>样品数量</w:t>
            </w:r>
          </w:p>
        </w:tc>
        <w:tc>
          <w:tcPr>
            <w:tcW w:w="1559" w:type="dxa"/>
            <w:vAlign w:val="center"/>
          </w:tcPr>
          <w:p>
            <w:pPr>
              <w:spacing w:line="276" w:lineRule="auto"/>
              <w:rPr>
                <w:rFonts w:ascii="华文楷体" w:eastAsia="华文楷体" w:hAnsi="华文楷体"/>
                <w:sz w:val="18"/>
                <w:szCs w:val="18"/>
              </w:rPr>
            </w:pPr>
          </w:p>
        </w:tc>
      </w:tr>
      <w:tr>
        <w:trPr>
          <w:trHeight w:val="558"/>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样品成分</w:t>
            </w:r>
          </w:p>
        </w:tc>
        <w:tc>
          <w:tcPr>
            <w:tcW w:w="5245" w:type="dxa"/>
            <w:vAlign w:val="center"/>
          </w:tcPr>
          <w:p>
            <w:pPr>
              <w:spacing w:line="276" w:lineRule="auto"/>
              <w:rPr>
                <w:rFonts w:ascii="华文楷体" w:eastAsia="华文楷体" w:hAnsi="华文楷体"/>
                <w:sz w:val="18"/>
                <w:szCs w:val="18"/>
              </w:rPr>
            </w:pPr>
          </w:p>
        </w:tc>
        <w:tc>
          <w:tcPr>
            <w:tcW w:w="2126" w:type="dxa"/>
            <w:vAlign w:val="center"/>
          </w:tcPr>
          <w:p>
            <w:pPr>
              <w:spacing w:line="276" w:lineRule="auto"/>
              <w:rPr>
                <w:rFonts w:ascii="华文楷体" w:eastAsia="华文楷体" w:hAnsi="华文楷体"/>
                <w:sz w:val="18"/>
                <w:szCs w:val="18"/>
              </w:rPr>
            </w:pPr>
            <w:r>
              <w:rPr>
                <w:rFonts w:ascii="华文楷体" w:eastAsia="华文楷体" w:hAnsi="华文楷体" w:hint="eastAsia"/>
                <w:sz w:val="18"/>
                <w:szCs w:val="18"/>
              </w:rPr>
              <w:t>是否回收（回收费25元）</w:t>
            </w:r>
          </w:p>
        </w:tc>
        <w:tc>
          <w:tcPr>
            <w:tcW w:w="1559" w:type="dxa"/>
            <w:vAlign w:val="center"/>
          </w:tcPr>
          <w:p>
            <w:pPr>
              <w:spacing w:line="276" w:lineRule="auto"/>
              <w:rPr>
                <w:rFonts w:ascii="华文楷体" w:eastAsia="华文楷体" w:hAnsi="华文楷体"/>
                <w:sz w:val="18"/>
                <w:szCs w:val="18"/>
              </w:rPr>
            </w:pPr>
            <w:r>
              <w:rPr>
                <w:rFonts w:ascii="华文楷体" w:eastAsia="华文楷体" w:hAnsi="华文楷体" w:hint="eastAsia"/>
                <w:sz w:val="18"/>
                <w:szCs w:val="18"/>
              </w:rPr>
              <w:t>本项目无法回收</w:t>
            </w:r>
          </w:p>
        </w:tc>
      </w:tr>
      <w:tr>
        <w:trPr>
          <w:trHeight w:val="541"/>
        </w:trPr>
        <w:tc>
          <w:tcPr>
            <w:tcW w:w="1384" w:type="dxa"/>
          </w:tcPr>
          <w:p>
            <w:pPr>
              <w:spacing w:beforeLines="50" w:before="156" w:line="276" w:lineRule="auto"/>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30" w:type="dxa"/>
            <w:gridSpan w:val="3"/>
          </w:tcPr>
          <w:p>
            <w:pPr>
              <w:spacing w:beforeLines="50" w:before="156" w:line="276" w:lineRule="auto"/>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30" w:type="dxa"/>
            <w:gridSpan w:val="3"/>
            <w:vAlign w:val="center"/>
          </w:tcPr>
          <w:p>
            <w:pPr>
              <w:spacing w:line="276" w:lineRule="auto"/>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30"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spacing w:line="276" w:lineRule="auto"/>
              <w:rPr>
                <w:rFonts w:ascii="华文楷体" w:eastAsia="华文楷体" w:hAnsi="华文楷体" w:cs="宋体"/>
                <w:sz w:val="18"/>
                <w:szCs w:val="18"/>
              </w:rPr>
            </w:pPr>
            <w:r>
              <w:rPr>
                <w:rFonts w:ascii="华文楷体" w:eastAsia="华文楷体" w:hAnsi="华文楷体" w:hint="eastAsia"/>
                <w:color w:val="FF0000"/>
                <w:sz w:val="18"/>
                <w:szCs w:val="18"/>
              </w:rPr>
              <w:t>注：不同测试仪器之间可能存在差别，数据形式和效果存在差异，如对数据有一致性要求，请务必提前写清。</w:t>
            </w:r>
          </w:p>
        </w:tc>
      </w:tr>
      <w:tr>
        <w:trPr>
          <w:trHeight w:val="90"/>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测试离子</w:t>
            </w:r>
          </w:p>
        </w:tc>
        <w:tc>
          <w:tcPr>
            <w:tcW w:w="8930" w:type="dxa"/>
            <w:gridSpan w:val="3"/>
          </w:tcPr>
          <w:p>
            <w:pPr>
              <w:spacing w:beforeLines="50" w:before="156" w:afterLines="50" w:after="156" w:line="276" w:lineRule="auto"/>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□正离子模式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□负离子模式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□正+负离子模式</w:t>
            </w:r>
          </w:p>
        </w:tc>
      </w:tr>
      <w:tr>
        <w:trPr>
          <w:trHeight w:val="90"/>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基质</w:t>
            </w:r>
          </w:p>
        </w:tc>
        <w:tc>
          <w:tcPr>
            <w:tcW w:w="8930" w:type="dxa"/>
            <w:gridSpan w:val="3"/>
          </w:tcPr>
          <w:p>
            <w:pPr>
              <w:spacing w:beforeLines="50" w:before="156" w:afterLines="50" w:after="156" w:line="276" w:lineRule="auto"/>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cs="宋体"/>
                <w:sz w:val="18"/>
                <w:szCs w:val="18"/>
              </w:rPr>
              <w:t>CHCA</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DHB</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 xml:space="preserve">SA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90"/>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分辨率</w:t>
            </w:r>
          </w:p>
        </w:tc>
        <w:tc>
          <w:tcPr>
            <w:tcW w:w="8930" w:type="dxa"/>
            <w:gridSpan w:val="3"/>
          </w:tcPr>
          <w:p>
            <w:pPr>
              <w:spacing w:beforeLines="50" w:before="156" w:afterLines="50" w:after="156" w:line="276" w:lineRule="auto"/>
              <w:ind w:left="90" w:hangingChars="50" w:hanging="90"/>
              <w:rPr>
                <w:rFonts w:ascii="华文楷体" w:eastAsia="华文楷体" w:hAnsi="华文楷体" w:cs="宋体"/>
                <w:sz w:val="18"/>
                <w:szCs w:val="18"/>
              </w:rPr>
            </w:pPr>
            <w:r>
              <w:rPr>
                <w:rFonts w:ascii="华文楷体" w:eastAsia="华文楷体" w:hAnsi="华文楷体" w:cs="宋体" w:hint="eastAsia"/>
                <w:sz w:val="18"/>
                <w:szCs w:val="18"/>
              </w:rPr>
              <w:t xml:space="preserve">□低分辨 </w:t>
            </w:r>
            <w:r>
              <w:rPr>
                <w:rFonts w:ascii="华文楷体" w:eastAsia="华文楷体" w:hAnsi="华文楷体" w:cs="宋体"/>
                <w:sz w:val="18"/>
                <w:szCs w:val="18"/>
              </w:rPr>
              <w:t xml:space="preserve">            </w:t>
            </w:r>
            <w:r>
              <w:rPr>
                <w:rFonts w:ascii="华文楷体" w:eastAsia="华文楷体" w:hAnsi="华文楷体" w:cs="宋体" w:hint="eastAsia"/>
                <w:sz w:val="18"/>
                <w:szCs w:val="18"/>
              </w:rPr>
              <w:t>□高分辨</w:t>
            </w:r>
          </w:p>
        </w:tc>
      </w:tr>
      <w:tr>
        <w:trPr>
          <w:trHeight w:val="90"/>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测试模式</w:t>
            </w:r>
          </w:p>
        </w:tc>
        <w:tc>
          <w:tcPr>
            <w:tcW w:w="8930" w:type="dxa"/>
            <w:gridSpan w:val="3"/>
          </w:tcPr>
          <w:p>
            <w:pPr>
              <w:spacing w:beforeLines="50" w:before="156" w:afterLines="50" w:after="156" w:line="276" w:lineRule="auto"/>
              <w:rPr>
                <w:rFonts w:ascii="华文楷体" w:eastAsia="华文楷体" w:hAnsi="华文楷体" w:cs="宋体"/>
                <w:sz w:val="18"/>
                <w:szCs w:val="18"/>
              </w:rPr>
            </w:pPr>
            <w:r>
              <w:rPr>
                <w:rFonts w:ascii="华文楷体" w:eastAsia="华文楷体" w:hAnsi="华文楷体" w:cs="宋体" w:hint="eastAsia"/>
                <w:sz w:val="18"/>
                <w:szCs w:val="18"/>
              </w:rPr>
              <w:t xml:space="preserve">□线性模式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□反射模式 </w:t>
            </w:r>
            <w:r>
              <w:rPr>
                <w:rFonts w:ascii="华文楷体" w:eastAsia="华文楷体" w:hAnsi="华文楷体" w:cs="宋体"/>
                <w:sz w:val="18"/>
                <w:szCs w:val="18"/>
              </w:rPr>
              <w:t xml:space="preserve">  </w:t>
            </w:r>
          </w:p>
        </w:tc>
      </w:tr>
      <w:tr>
        <w:trPr>
          <w:trHeight w:val="90"/>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溶剂</w:t>
            </w:r>
          </w:p>
        </w:tc>
        <w:tc>
          <w:tcPr>
            <w:tcW w:w="8930" w:type="dxa"/>
            <w:gridSpan w:val="3"/>
          </w:tcPr>
          <w:p>
            <w:pPr>
              <w:spacing w:beforeLines="50" w:before="156" w:afterLines="50" w:after="156" w:line="276" w:lineRule="auto"/>
              <w:ind w:left="90" w:hangingChars="50" w:hanging="90"/>
              <w:rPr>
                <w:rFonts w:ascii="华文楷体" w:eastAsia="华文楷体" w:hAnsi="华文楷体" w:cs="宋体"/>
                <w:sz w:val="18"/>
                <w:szCs w:val="18"/>
                <w:u w:val="single"/>
              </w:rPr>
            </w:pPr>
            <w:r>
              <w:rPr>
                <w:rFonts w:ascii="华文楷体" w:eastAsia="华文楷体" w:hAnsi="华文楷体" w:cs="宋体"/>
                <w:sz w:val="18"/>
                <w:szCs w:val="18"/>
                <w:u w:val="single"/>
              </w:rPr>
              <w:t xml:space="preserve">                        </w:t>
            </w:r>
          </w:p>
        </w:tc>
      </w:tr>
      <w:tr>
        <w:trPr>
          <w:trHeight w:val="90"/>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测试范围</w:t>
            </w:r>
          </w:p>
        </w:tc>
        <w:tc>
          <w:tcPr>
            <w:tcW w:w="8930" w:type="dxa"/>
            <w:gridSpan w:val="3"/>
          </w:tcPr>
          <w:p>
            <w:pPr>
              <w:spacing w:beforeLines="50" w:before="156" w:afterLines="50" w:after="156" w:line="276" w:lineRule="auto"/>
              <w:ind w:left="90" w:hangingChars="50" w:hanging="90"/>
              <w:rPr>
                <w:rFonts w:ascii="华文楷体" w:eastAsia="华文楷体" w:hAnsi="华文楷体" w:cs="宋体"/>
                <w:sz w:val="18"/>
                <w:szCs w:val="18"/>
                <w:u w:val="single"/>
              </w:rPr>
            </w:pP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M/</w:t>
            </w:r>
            <w:r>
              <w:rPr>
                <w:rFonts w:ascii="华文楷体" w:eastAsia="华文楷体" w:hAnsi="华文楷体" w:cs="宋体" w:hint="eastAsia"/>
                <w:sz w:val="18"/>
                <w:szCs w:val="18"/>
              </w:rPr>
              <w:t>z——</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M</w:t>
            </w:r>
            <w:r>
              <w:rPr>
                <w:rFonts w:ascii="华文楷体" w:eastAsia="华文楷体" w:hAnsi="华文楷体" w:cs="宋体" w:hint="eastAsia"/>
                <w:sz w:val="18"/>
                <w:szCs w:val="18"/>
              </w:rPr>
              <w:t>/Z</w:t>
            </w:r>
          </w:p>
        </w:tc>
      </w:tr>
      <w:tr>
        <w:trPr>
          <w:trHeight w:val="1461"/>
        </w:trPr>
        <w:tc>
          <w:tcPr>
            <w:tcW w:w="1384" w:type="dxa"/>
            <w:vAlign w:val="center"/>
          </w:tcPr>
          <w:p>
            <w:pPr>
              <w:spacing w:line="276" w:lineRule="auto"/>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30" w:type="dxa"/>
            <w:gridSpan w:val="3"/>
          </w:tcPr>
          <w:p>
            <w:pPr>
              <w:spacing w:beforeLines="50" w:before="156" w:afterLines="50" w:after="156" w:line="276"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 xml:space="preserve"> 备注：具体测试过程、方法要求以及参考文献。</w:t>
            </w:r>
          </w:p>
          <w:p>
            <w:pPr>
              <w:adjustRightInd w:val="0"/>
              <w:snapToGrid w:val="0"/>
              <w:spacing w:line="276" w:lineRule="auto"/>
              <w:rPr>
                <w:rFonts w:ascii="华文楷体" w:eastAsia="华文楷体" w:hAnsi="华文楷体" w:cs="宋体"/>
                <w:sz w:val="18"/>
                <w:szCs w:val="18"/>
                <w:u w:val="single"/>
              </w:rPr>
            </w:pPr>
          </w:p>
          <w:p>
            <w:pPr>
              <w:adjustRightInd w:val="0"/>
              <w:snapToGrid w:val="0"/>
              <w:spacing w:line="276" w:lineRule="auto"/>
              <w:rPr>
                <w:rFonts w:ascii="华文楷体" w:eastAsia="华文楷体" w:hAnsi="华文楷体" w:cs="宋体"/>
                <w:sz w:val="18"/>
                <w:szCs w:val="18"/>
                <w:u w:val="single"/>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3AE92C31"/>
    <w:multiLevelType w:val="multilevel"/>
    <w:tmpl w:val="3AE92C31"/>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42B7279C"/>
    <w:multiLevelType w:val="multilevel"/>
    <w:tmpl w:val="42B7279C"/>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3F0394DB-1001-46DA-8775-70EDF0839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qFormat/>
    <w:pPr>
      <w:spacing w:beforeAutospacing="1" w:afterAutospacing="1"/>
      <w:jc w:val="left"/>
    </w:pPr>
    <w:rPr>
      <w:kern w:val="0"/>
      <w:sz w:val="24"/>
    </w:rPr>
  </w:style>
  <w:style w:type="character" w:styleId="ac">
    <w:name w:val="Hyperlink"/>
    <w:qFormat/>
    <w:rPr>
      <w:color w:val="0000FF"/>
      <w:u w:val="single"/>
    </w:rPr>
  </w:style>
  <w:style w:type="character" w:styleId="ad">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e">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DC5874-9002-45D9-9F41-E777441657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318</Words>
  <Characters>1817</Characters>
  <Application>Microsoft Office Word</Application>
  <DocSecurity>0</DocSecurity>
  <Lines>15</Lines>
  <Paragraphs>4</Paragraphs>
  <ScaleCrop>false</ScaleCrop>
  <Company/>
  <LinksUpToDate>false</LinksUpToDate>
  <CharactersWithSpaces>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73</cp:revision>
  <cp:lastPrinted>2019-01-16T08:10:00Z</cp:lastPrinted>
  <dcterms:created xsi:type="dcterms:W3CDTF">2017-04-04T08:33:00Z</dcterms:created>
  <dcterms:modified xsi:type="dcterms:W3CDTF">2024-08-30T02:35:00Z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