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7"/>
        </w:numPr>
        <w:spacing w:line="276" w:lineRule="auto"/>
        <w:ind w:firstLineChars="0"/>
        <w:jc w:val="left"/>
        <w:rPr>
          <w:rFonts w:ascii="宋体" w:hAnsi="宋体" w:cs="宋体"/>
          <w:bCs/>
          <w:sz w:val="18"/>
          <w:szCs w:val="21"/>
        </w:rPr>
      </w:pPr>
      <w:r>
        <w:rPr>
          <w:rFonts w:ascii="宋体" w:hAnsi="宋体" w:cs="宋体" w:hint="eastAsia"/>
          <w:bCs/>
          <w:sz w:val="18"/>
          <w:szCs w:val="21"/>
        </w:rPr>
        <w:t>液体：测试时需要空白溶剂</w:t>
      </w:r>
      <w:proofErr w:type="gramStart"/>
      <w:r>
        <w:rPr>
          <w:rFonts w:ascii="宋体" w:hAnsi="宋体" w:cs="宋体" w:hint="eastAsia"/>
          <w:bCs/>
          <w:sz w:val="18"/>
          <w:szCs w:val="21"/>
        </w:rPr>
        <w:t>做对</w:t>
      </w:r>
      <w:proofErr w:type="gramEnd"/>
      <w:r>
        <w:rPr>
          <w:rFonts w:ascii="宋体" w:hAnsi="宋体" w:cs="宋体" w:hint="eastAsia"/>
          <w:bCs/>
          <w:sz w:val="18"/>
          <w:szCs w:val="21"/>
        </w:rPr>
        <w:t>照扣背景，麻烦样品及溶剂至少各备5ml。</w:t>
      </w:r>
    </w:p>
    <w:p>
      <w:pPr>
        <w:pStyle w:val="ad"/>
        <w:numPr>
          <w:ilvl w:val="0"/>
          <w:numId w:val="7"/>
        </w:numPr>
        <w:spacing w:line="276" w:lineRule="auto"/>
        <w:ind w:firstLineChars="0"/>
        <w:jc w:val="left"/>
        <w:rPr>
          <w:rFonts w:ascii="宋体" w:hAnsi="宋体" w:cs="宋体"/>
          <w:bCs/>
          <w:sz w:val="18"/>
          <w:szCs w:val="21"/>
        </w:rPr>
      </w:pPr>
      <w:r>
        <w:rPr>
          <w:rFonts w:ascii="宋体" w:hAnsi="宋体" w:cs="宋体" w:hint="eastAsia"/>
          <w:bCs/>
          <w:sz w:val="18"/>
          <w:szCs w:val="21"/>
        </w:rPr>
        <w:t>固体样品量：150-200 mg/样。 </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每个样品默认测一次，若需平行则按照多个样品收费；</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样品及溶剂的浓度对测试影响较大，不宜过高或过低（浓度过高，会超电压，数据不准；浓度过低，没有信号）：不同物质，最佳浓度不同，测试时不对浓度进行摸索；</w:t>
      </w:r>
    </w:p>
    <w:p>
      <w:pPr>
        <w:pStyle w:val="ad"/>
        <w:numPr>
          <w:ilvl w:val="0"/>
          <w:numId w:val="5"/>
        </w:numPr>
        <w:spacing w:line="276" w:lineRule="auto"/>
        <w:ind w:firstLineChars="0"/>
        <w:jc w:val="left"/>
        <w:rPr>
          <w:rFonts w:ascii="宋体" w:hAnsi="宋体" w:cs="宋体"/>
          <w:bCs/>
          <w:sz w:val="18"/>
          <w:szCs w:val="21"/>
        </w:rPr>
      </w:pPr>
      <w:proofErr w:type="gramStart"/>
      <w:r>
        <w:rPr>
          <w:rFonts w:ascii="宋体" w:hAnsi="宋体" w:cs="宋体" w:hint="eastAsia"/>
          <w:bCs/>
          <w:sz w:val="18"/>
          <w:szCs w:val="21"/>
        </w:rPr>
        <w:t>如之前测</w:t>
      </w:r>
      <w:proofErr w:type="gramEnd"/>
      <w:r>
        <w:rPr>
          <w:rFonts w:ascii="宋体" w:hAnsi="宋体" w:cs="宋体" w:hint="eastAsia"/>
          <w:bCs/>
          <w:sz w:val="18"/>
          <w:szCs w:val="21"/>
        </w:rPr>
        <w:t>过CD或有相关文献，建议按对应浓度准备；</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如没测过CD或无文献，但扫过紫外全谱，建议优选紫外浓度的一半配制样品，如不合适再调整（直接用紫外对应浓度，测CD的话浓度偏高）；</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如以上均无，建议按0.5 mg/ml来配（蛋白质样品，浓度一般0.1-0.5mg/ml），但无法保证该浓度合适。</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C</w:t>
      </w:r>
      <w:r>
        <w:rPr>
          <w:rFonts w:ascii="华文楷体" w:eastAsia="华文楷体" w:hAnsi="华文楷体"/>
          <w:b/>
          <w:sz w:val="36"/>
          <w:szCs w:val="36"/>
        </w:rPr>
        <w:t>D</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1843"/>
        <w:gridCol w:w="1559"/>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1843"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1843"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559" w:type="dxa"/>
            <w:vAlign w:val="center"/>
          </w:tcPr>
          <w:p>
            <w:pPr>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测试方法</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□固体C</w:t>
            </w:r>
            <w:r>
              <w:rPr>
                <w:rFonts w:ascii="华文楷体" w:eastAsia="华文楷体" w:hAnsi="华文楷体" w:cs="宋体"/>
                <w:sz w:val="18"/>
                <w:szCs w:val="18"/>
              </w:rPr>
              <w:t>D</w:t>
            </w:r>
            <w:r>
              <w:rPr>
                <w:rFonts w:ascii="华文楷体" w:eastAsia="华文楷体" w:hAnsi="华文楷体" w:cs="宋体" w:hint="eastAsia"/>
                <w:sz w:val="18"/>
                <w:szCs w:val="18"/>
              </w:rPr>
              <w:t xml:space="preserve">（不需溶解，直接测试）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□液体C</w:t>
            </w:r>
            <w:r>
              <w:rPr>
                <w:rFonts w:ascii="华文楷体" w:eastAsia="华文楷体" w:hAnsi="华文楷体" w:cs="宋体"/>
                <w:sz w:val="18"/>
                <w:szCs w:val="18"/>
              </w:rPr>
              <w:t>D</w:t>
            </w:r>
            <w:r>
              <w:rPr>
                <w:rFonts w:ascii="华文楷体" w:eastAsia="华文楷体" w:hAnsi="华文楷体" w:cs="宋体" w:hint="eastAsia"/>
                <w:sz w:val="18"/>
                <w:szCs w:val="18"/>
              </w:rPr>
              <w:t>（液体或者固体溶解到溶剂之后测试）</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测试范围</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是否分析</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□是，需要分析二级结构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□否，不需要分析</w:t>
            </w:r>
          </w:p>
        </w:tc>
      </w:tr>
      <w:tr>
        <w:trPr>
          <w:trHeight w:val="120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备注：具体要求需要填写每个样品的成份以及浓度，测试温度（默认室温），如有其他测试要求，请务必描述清楚。</w:t>
            </w:r>
          </w:p>
          <w:p>
            <w:pPr>
              <w:spacing w:beforeLines="50" w:before="156" w:afterLines="50" w:after="156"/>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00F100D"/>
    <w:multiLevelType w:val="multilevel"/>
    <w:tmpl w:val="200F100D"/>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283A62D8"/>
    <w:multiLevelType w:val="multilevel"/>
    <w:tmpl w:val="283A62D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51074C97"/>
    <w:multiLevelType w:val="hybridMultilevel"/>
    <w:tmpl w:val="39168602"/>
    <w:lvl w:ilvl="0" w:tplc="4DCAD440">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95C4B2D"/>
    <w:multiLevelType w:val="hybridMultilevel"/>
    <w:tmpl w:val="7D9E7824"/>
    <w:lvl w:ilvl="0" w:tplc="BDCE21BC">
      <w:start w:val="1"/>
      <w:numFmt w:val="decimal"/>
      <w:lvlText w:val="%1）"/>
      <w:lvlJc w:val="left"/>
      <w:pPr>
        <w:ind w:left="1200" w:hanging="360"/>
      </w:pPr>
      <w:rPr>
        <w:rFonts w:hint="eastAsia"/>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6"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56E1E5A5-4CDA-4BD0-BD50-2E443968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6B3CA9-9A2A-4C03-B85D-CF5A7350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66</cp:revision>
  <cp:lastPrinted>2019-01-16T08:10:00Z</cp:lastPrinted>
  <dcterms:created xsi:type="dcterms:W3CDTF">2017-04-04T08:33:00Z</dcterms:created>
  <dcterms:modified xsi:type="dcterms:W3CDTF">2024-08-30T03:08:00Z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