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jc w:val="center"/>
        <w:rPr>
          <w:rFonts w:ascii="黑体" w:eastAsia="黑体" w:hAnsi="黑体"/>
          <w:b/>
          <w:sz w:val="28"/>
          <w:szCs w:val="44"/>
        </w:rPr>
      </w:pPr>
      <w:r>
        <w:rPr>
          <w:rFonts w:ascii="黑体" w:eastAsia="黑体" w:hAnsi="黑体" w:hint="eastAsia"/>
          <w:b/>
          <w:sz w:val="28"/>
          <w:szCs w:val="44"/>
        </w:rPr>
        <w:t>送样须知（必看）</w:t>
      </w:r>
    </w:p>
    <w:p>
      <w:pPr>
        <w:pStyle w:val="af2"/>
        <w:numPr>
          <w:ilvl w:val="0"/>
          <w:numId w:val="1"/>
        </w:numPr>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2"/>
        <w:numPr>
          <w:ilvl w:val="0"/>
          <w:numId w:val="1"/>
        </w:numPr>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2"/>
        <w:numPr>
          <w:ilvl w:val="0"/>
          <w:numId w:val="1"/>
        </w:numPr>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2"/>
        <w:numPr>
          <w:ilvl w:val="0"/>
          <w:numId w:val="1"/>
        </w:numPr>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2"/>
        <w:numPr>
          <w:ilvl w:val="0"/>
          <w:numId w:val="2"/>
        </w:numPr>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2"/>
        <w:numPr>
          <w:ilvl w:val="0"/>
          <w:numId w:val="2"/>
        </w:numPr>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2"/>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2"/>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2"/>
        <w:numPr>
          <w:ilvl w:val="0"/>
          <w:numId w:val="1"/>
        </w:numPr>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2"/>
        <w:numPr>
          <w:ilvl w:val="1"/>
          <w:numId w:val="3"/>
        </w:numPr>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2"/>
        <w:numPr>
          <w:ilvl w:val="1"/>
          <w:numId w:val="3"/>
        </w:numPr>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2"/>
        <w:numPr>
          <w:ilvl w:val="1"/>
          <w:numId w:val="3"/>
        </w:numPr>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2"/>
        <w:numPr>
          <w:ilvl w:val="1"/>
          <w:numId w:val="3"/>
        </w:numPr>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2"/>
        <w:numPr>
          <w:ilvl w:val="1"/>
          <w:numId w:val="3"/>
        </w:numPr>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2"/>
        <w:numPr>
          <w:ilvl w:val="0"/>
          <w:numId w:val="1"/>
        </w:numPr>
        <w:ind w:firstLineChars="0"/>
        <w:jc w:val="left"/>
        <w:rPr>
          <w:rFonts w:ascii="宋体" w:hAnsi="宋体" w:cs="宋体"/>
          <w:bCs/>
          <w:sz w:val="18"/>
          <w:szCs w:val="21"/>
        </w:rPr>
      </w:pPr>
      <w:r>
        <w:rPr>
          <w:rFonts w:ascii="宋体" w:hAnsi="宋体" w:cs="宋体" w:hint="eastAsia"/>
          <w:bCs/>
          <w:sz w:val="18"/>
          <w:szCs w:val="21"/>
        </w:rPr>
        <w:t>样品要求：</w:t>
      </w:r>
    </w:p>
    <w:p>
      <w:pPr>
        <w:pStyle w:val="af2"/>
        <w:numPr>
          <w:ilvl w:val="0"/>
          <w:numId w:val="4"/>
        </w:numPr>
        <w:ind w:firstLineChars="0"/>
        <w:jc w:val="left"/>
        <w:rPr>
          <w:rFonts w:ascii="宋体" w:hAnsi="宋体" w:cs="宋体"/>
          <w:bCs/>
          <w:sz w:val="18"/>
          <w:szCs w:val="21"/>
        </w:rPr>
      </w:pPr>
      <w:r>
        <w:rPr>
          <w:rFonts w:ascii="宋体" w:hAnsi="宋体" w:cs="宋体" w:hint="eastAsia"/>
          <w:bCs/>
          <w:sz w:val="18"/>
          <w:szCs w:val="21"/>
        </w:rPr>
        <w:t>已经做好前处理的溶液样品要求：</w:t>
      </w:r>
    </w:p>
    <w:p>
      <w:pPr>
        <w:pStyle w:val="af2"/>
        <w:ind w:left="840" w:firstLineChars="0" w:firstLine="0"/>
        <w:jc w:val="left"/>
        <w:rPr>
          <w:rFonts w:ascii="宋体" w:hAnsi="宋体" w:cs="宋体"/>
          <w:bCs/>
          <w:sz w:val="18"/>
          <w:szCs w:val="21"/>
        </w:rPr>
      </w:pPr>
      <w:r>
        <w:rPr>
          <w:rFonts w:ascii="宋体" w:hAnsi="宋体" w:cs="宋体" w:hint="eastAsia"/>
          <w:bCs/>
          <w:sz w:val="18"/>
          <w:szCs w:val="21"/>
        </w:rPr>
        <w:t>澄清溶液（溶液必须稳定没有沉淀），提供5-10ml，溶液呈中性偏酸性，酸浓度控制在5%以下（HF酸溶解不可以直接测试，需要将F离子挥发完，已消解好的也需要稀释）；</w:t>
      </w:r>
    </w:p>
    <w:p>
      <w:pPr>
        <w:pStyle w:val="af2"/>
        <w:numPr>
          <w:ilvl w:val="0"/>
          <w:numId w:val="4"/>
        </w:numPr>
        <w:ind w:firstLineChars="0"/>
        <w:jc w:val="left"/>
        <w:rPr>
          <w:rFonts w:ascii="宋体" w:hAnsi="宋体" w:cs="宋体"/>
          <w:bCs/>
          <w:sz w:val="18"/>
          <w:szCs w:val="21"/>
        </w:rPr>
      </w:pPr>
      <w:r>
        <w:rPr>
          <w:rFonts w:ascii="宋体" w:hAnsi="宋体" w:cs="宋体" w:hint="eastAsia"/>
          <w:bCs/>
          <w:sz w:val="18"/>
          <w:szCs w:val="21"/>
        </w:rPr>
        <w:t>有机溶液，含碳溶液不可直接测，需要加酸消解</w:t>
      </w:r>
      <w:proofErr w:type="gramStart"/>
      <w:r>
        <w:rPr>
          <w:rFonts w:ascii="宋体" w:hAnsi="宋体" w:cs="宋体" w:hint="eastAsia"/>
          <w:bCs/>
          <w:sz w:val="18"/>
          <w:szCs w:val="21"/>
        </w:rPr>
        <w:t>至碳不</w:t>
      </w:r>
      <w:proofErr w:type="gramEnd"/>
      <w:r>
        <w:rPr>
          <w:rFonts w:ascii="宋体" w:hAnsi="宋体" w:cs="宋体" w:hint="eastAsia"/>
          <w:bCs/>
          <w:sz w:val="18"/>
          <w:szCs w:val="21"/>
        </w:rPr>
        <w:t>存在于溶液中，必须不含任何不溶性杂质，不含有机物，建议溶液样品一般过0.45um膜；</w:t>
      </w:r>
    </w:p>
    <w:p>
      <w:pPr>
        <w:pStyle w:val="af2"/>
        <w:numPr>
          <w:ilvl w:val="0"/>
          <w:numId w:val="4"/>
        </w:numPr>
        <w:ind w:firstLineChars="0"/>
        <w:jc w:val="left"/>
        <w:rPr>
          <w:rFonts w:ascii="宋体" w:hAnsi="宋体" w:cs="宋体"/>
          <w:bCs/>
          <w:sz w:val="18"/>
          <w:szCs w:val="21"/>
        </w:rPr>
      </w:pPr>
      <w:r>
        <w:rPr>
          <w:rFonts w:ascii="宋体" w:hAnsi="宋体" w:cs="宋体" w:hint="eastAsia"/>
          <w:bCs/>
          <w:sz w:val="18"/>
          <w:szCs w:val="21"/>
        </w:rPr>
        <w:t>未做好前处理的固体样品要求：粉末样品至少</w:t>
      </w:r>
      <w:r>
        <w:rPr>
          <w:rFonts w:ascii="宋体" w:hAnsi="宋体" w:cs="宋体"/>
          <w:bCs/>
          <w:sz w:val="18"/>
          <w:szCs w:val="21"/>
        </w:rPr>
        <w:t>3</w:t>
      </w:r>
      <w:r>
        <w:rPr>
          <w:rFonts w:ascii="宋体" w:hAnsi="宋体" w:cs="宋体" w:hint="eastAsia"/>
          <w:bCs/>
          <w:sz w:val="18"/>
          <w:szCs w:val="21"/>
        </w:rPr>
        <w:t>0mg以上，最好</w:t>
      </w:r>
      <w:r>
        <w:rPr>
          <w:rFonts w:ascii="宋体" w:hAnsi="宋体" w:cs="宋体"/>
          <w:bCs/>
          <w:sz w:val="18"/>
          <w:szCs w:val="21"/>
        </w:rPr>
        <w:t>5</w:t>
      </w:r>
      <w:r>
        <w:rPr>
          <w:rFonts w:ascii="宋体" w:hAnsi="宋体" w:cs="宋体" w:hint="eastAsia"/>
          <w:bCs/>
          <w:sz w:val="18"/>
          <w:szCs w:val="21"/>
        </w:rPr>
        <w:t>0㎎。</w:t>
      </w:r>
    </w:p>
    <w:p>
      <w:pPr>
        <w:pStyle w:val="af2"/>
        <w:numPr>
          <w:ilvl w:val="0"/>
          <w:numId w:val="1"/>
        </w:numPr>
        <w:ind w:firstLineChars="0"/>
        <w:jc w:val="left"/>
        <w:rPr>
          <w:rFonts w:ascii="宋体" w:hAnsi="宋体" w:cs="宋体"/>
          <w:bCs/>
          <w:sz w:val="18"/>
          <w:szCs w:val="21"/>
        </w:rPr>
      </w:pPr>
      <w:r>
        <w:rPr>
          <w:rFonts w:ascii="宋体" w:hAnsi="宋体" w:cs="宋体" w:hint="eastAsia"/>
          <w:bCs/>
          <w:sz w:val="18"/>
          <w:szCs w:val="21"/>
        </w:rPr>
        <w:t>注意事项：</w:t>
      </w:r>
    </w:p>
    <w:p>
      <w:pPr>
        <w:jc w:val="center"/>
        <w:rPr>
          <w:rFonts w:ascii="宋体" w:hAnsi="宋体" w:cs="宋体"/>
          <w:bCs/>
          <w:szCs w:val="21"/>
        </w:rPr>
      </w:pPr>
    </w:p>
    <w:p>
      <w:pPr>
        <w:tabs>
          <w:tab w:val="left" w:pos="5460"/>
          <w:tab w:val="right" w:pos="9866"/>
        </w:tabs>
        <w:rPr>
          <w:rFonts w:ascii="宋体" w:hAnsi="宋体" w:cs="宋体"/>
          <w:szCs w:val="21"/>
        </w:rPr>
      </w:pPr>
      <w:r>
        <w:rPr>
          <w:rFonts w:ascii="宋体" w:hAnsi="宋体" w:cs="宋体"/>
          <w:szCs w:val="21"/>
        </w:rPr>
        <w:tab/>
      </w:r>
      <w:r>
        <w:rPr>
          <w:rFonts w:ascii="宋体" w:hAnsi="宋体" w:cs="宋体"/>
          <w:szCs w:val="21"/>
        </w:rPr>
        <w:tab/>
      </w:r>
    </w:p>
    <w:p>
      <w:pPr>
        <w:spacing w:line="360" w:lineRule="auto"/>
        <w:rPr>
          <w:rFonts w:ascii="宋体" w:hAnsi="宋体" w:cs="宋体"/>
          <w:bCs/>
          <w:szCs w:val="21"/>
        </w:rPr>
      </w:pPr>
    </w:p>
    <w:p>
      <w:pPr>
        <w:spacing w:line="360" w:lineRule="auto"/>
        <w:rPr>
          <w:rFonts w:ascii="宋体" w:hAnsi="宋体" w:cs="宋体"/>
          <w:bCs/>
          <w:szCs w:val="21"/>
        </w:rPr>
      </w:pPr>
    </w:p>
    <w:p>
      <w:pPr>
        <w:spacing w:line="360" w:lineRule="auto"/>
        <w:rPr>
          <w:rFonts w:ascii="宋体" w:hAnsi="宋体" w:cs="宋体"/>
          <w:bCs/>
          <w:szCs w:val="21"/>
        </w:rPr>
      </w:pPr>
    </w:p>
    <w:p>
      <w:pPr>
        <w:spacing w:line="360" w:lineRule="auto"/>
        <w:rPr>
          <w:rFonts w:ascii="宋体" w:hAnsi="宋体" w:cs="宋体"/>
          <w:bCs/>
          <w:szCs w:val="21"/>
        </w:rPr>
      </w:pPr>
    </w:p>
    <w:p>
      <w:pPr>
        <w:spacing w:line="360" w:lineRule="auto"/>
        <w:rPr>
          <w:rFonts w:ascii="宋体" w:hAnsi="宋体" w:cs="宋体"/>
          <w:bCs/>
          <w:szCs w:val="21"/>
        </w:rPr>
      </w:pPr>
    </w:p>
    <w:p>
      <w:pPr>
        <w:spacing w:line="360" w:lineRule="auto"/>
        <w:rPr>
          <w:rFonts w:ascii="宋体" w:hAnsi="宋体" w:cs="宋体"/>
          <w:bCs/>
          <w:szCs w:val="21"/>
        </w:rPr>
      </w:pPr>
    </w:p>
    <w:p>
      <w:pPr>
        <w:spacing w:line="360" w:lineRule="auto"/>
        <w:rPr>
          <w:rFonts w:ascii="宋体" w:hAnsi="宋体" w:cs="宋体"/>
          <w:bCs/>
          <w:szCs w:val="21"/>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b/>
          <w:sz w:val="36"/>
          <w:szCs w:val="36"/>
        </w:rPr>
        <w:t>AAS</w:t>
      </w:r>
      <w:r>
        <w:rPr>
          <w:rFonts w:ascii="华文楷体" w:eastAsia="华文楷体" w:hAnsi="华文楷体" w:hint="eastAsia"/>
          <w:b/>
          <w:sz w:val="36"/>
          <w:szCs w:val="36"/>
        </w:rPr>
        <w:t>测试要求</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5528"/>
        <w:gridCol w:w="1701"/>
        <w:gridCol w:w="1701"/>
      </w:tblGrid>
      <w:tr>
        <w:trPr>
          <w:trHeight w:val="529"/>
        </w:trPr>
        <w:tc>
          <w:tcPr>
            <w:tcW w:w="141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1701"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701" w:type="dxa"/>
            <w:vAlign w:val="center"/>
          </w:tcPr>
          <w:p>
            <w:pPr>
              <w:rPr>
                <w:rFonts w:ascii="华文楷体" w:eastAsia="华文楷体" w:hAnsi="华文楷体"/>
                <w:sz w:val="18"/>
                <w:szCs w:val="18"/>
              </w:rPr>
            </w:pPr>
          </w:p>
        </w:tc>
      </w:tr>
      <w:tr>
        <w:trPr>
          <w:trHeight w:val="558"/>
        </w:trPr>
        <w:tc>
          <w:tcPr>
            <w:tcW w:w="141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jc w:val="right"/>
              <w:rPr>
                <w:rFonts w:ascii="华文楷体" w:eastAsia="华文楷体" w:hAnsi="华文楷体"/>
                <w:color w:val="FF0000"/>
                <w:sz w:val="18"/>
                <w:szCs w:val="18"/>
              </w:rPr>
            </w:pPr>
            <w:r>
              <w:rPr>
                <w:rFonts w:ascii="华文楷体" w:eastAsia="华文楷体" w:hAnsi="华文楷体" w:hint="eastAsia"/>
                <w:color w:val="FF0000"/>
                <w:sz w:val="18"/>
                <w:szCs w:val="18"/>
              </w:rPr>
              <w:t>（需给出样品化合组成，非元素组成）</w:t>
            </w:r>
          </w:p>
        </w:tc>
        <w:tc>
          <w:tcPr>
            <w:tcW w:w="1701"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701" w:type="dxa"/>
            <w:vAlign w:val="center"/>
          </w:tcPr>
          <w:p>
            <w:pPr>
              <w:rPr>
                <w:rFonts w:ascii="华文楷体" w:eastAsia="华文楷体" w:hAnsi="华文楷体"/>
                <w:sz w:val="18"/>
                <w:szCs w:val="18"/>
              </w:rPr>
            </w:pPr>
            <w:r>
              <w:rPr>
                <w:rFonts w:ascii="华文楷体" w:eastAsia="华文楷体" w:hAnsi="华文楷体" w:hint="eastAsia"/>
                <w:sz w:val="18"/>
                <w:szCs w:val="18"/>
              </w:rPr>
              <w:t>本项目无法回收</w:t>
            </w:r>
          </w:p>
        </w:tc>
      </w:tr>
      <w:tr>
        <w:trPr>
          <w:trHeight w:val="541"/>
        </w:trPr>
        <w:tc>
          <w:tcPr>
            <w:tcW w:w="141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□室温（默认）   □避光     □低温</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hint="eastAsia"/>
                <w:sz w:val="18"/>
                <w:szCs w:val="18"/>
              </w:rPr>
              <w:t>其它</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hint="eastAsia"/>
                <w:color w:val="FF0000"/>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41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41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90"/>
        </w:trPr>
        <w:tc>
          <w:tcPr>
            <w:tcW w:w="141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前处理</w:t>
            </w:r>
          </w:p>
        </w:tc>
        <w:tc>
          <w:tcPr>
            <w:tcW w:w="8930" w:type="dxa"/>
            <w:gridSpan w:val="3"/>
            <w:vAlign w:val="center"/>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□加水稀释</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□加酸消解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□微波消解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w:t>
            </w:r>
          </w:p>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具体的方法（没有可不填写，将按照默认方法）</w:t>
            </w:r>
            <w:r>
              <w:rPr>
                <w:rFonts w:ascii="华文楷体" w:eastAsia="华文楷体" w:hAnsi="华文楷体" w:cs="宋体"/>
                <w:sz w:val="18"/>
                <w:szCs w:val="18"/>
              </w:rPr>
              <w:t xml:space="preserve"> </w:t>
            </w:r>
            <w:r>
              <w:rPr>
                <w:rFonts w:ascii="华文楷体" w:eastAsia="华文楷体" w:hAnsi="华文楷体" w:cs="宋体"/>
                <w:sz w:val="18"/>
                <w:szCs w:val="18"/>
                <w:u w:val="single"/>
              </w:rPr>
              <w:t xml:space="preserve">                                            </w:t>
            </w:r>
          </w:p>
        </w:tc>
      </w:tr>
      <w:tr>
        <w:trPr>
          <w:trHeight w:val="585"/>
        </w:trPr>
        <w:tc>
          <w:tcPr>
            <w:tcW w:w="141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测试元素</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测试元素1</w:t>
            </w:r>
            <w:r>
              <w:rPr>
                <w:rFonts w:ascii="华文楷体" w:eastAsia="华文楷体" w:hAnsi="华文楷体" w:cs="宋体"/>
                <w:color w:val="FF0000"/>
                <w:sz w:val="18"/>
                <w:szCs w:val="18"/>
              </w:rPr>
              <w:t xml:space="preserve"> </w:t>
            </w:r>
            <w:r>
              <w:rPr>
                <w:rFonts w:ascii="华文楷体" w:eastAsia="华文楷体" w:hAnsi="华文楷体" w:cs="宋体"/>
                <w:color w:val="FF0000"/>
                <w:sz w:val="18"/>
                <w:szCs w:val="18"/>
                <w:u w:val="single"/>
              </w:rPr>
              <w:t xml:space="preserve">       </w:t>
            </w:r>
            <w:r>
              <w:rPr>
                <w:rFonts w:ascii="华文楷体" w:eastAsia="华文楷体" w:hAnsi="华文楷体" w:cs="宋体" w:hint="eastAsia"/>
                <w:color w:val="FF0000"/>
                <w:sz w:val="18"/>
                <w:szCs w:val="18"/>
              </w:rPr>
              <w:t>大致含量范围</w:t>
            </w:r>
            <w:r>
              <w:rPr>
                <w:rFonts w:ascii="华文楷体" w:eastAsia="华文楷体" w:hAnsi="华文楷体" w:cs="宋体" w:hint="eastAsia"/>
                <w:color w:val="FF0000"/>
                <w:sz w:val="18"/>
                <w:szCs w:val="18"/>
                <w:u w:val="single"/>
              </w:rPr>
              <w:t xml:space="preserve"> </w:t>
            </w:r>
            <w:r>
              <w:rPr>
                <w:rFonts w:ascii="华文楷体" w:eastAsia="华文楷体" w:hAnsi="华文楷体" w:cs="宋体"/>
                <w:color w:val="FF0000"/>
                <w:sz w:val="18"/>
                <w:szCs w:val="18"/>
                <w:u w:val="single"/>
              </w:rPr>
              <w:t xml:space="preserve">       </w:t>
            </w:r>
            <w:r>
              <w:rPr>
                <w:rFonts w:ascii="华文楷体" w:eastAsia="华文楷体" w:hAnsi="华文楷体" w:cs="宋体" w:hint="eastAsia"/>
                <w:color w:val="FF0000"/>
                <w:sz w:val="18"/>
                <w:szCs w:val="18"/>
                <w:u w:val="single"/>
              </w:rPr>
              <w:t xml:space="preserve"> </w:t>
            </w:r>
            <w:r>
              <w:rPr>
                <w:rFonts w:ascii="华文楷体" w:eastAsia="华文楷体" w:hAnsi="华文楷体" w:cs="宋体"/>
                <w:color w:val="FF0000"/>
                <w:sz w:val="18"/>
                <w:szCs w:val="18"/>
                <w:u w:val="single"/>
              </w:rPr>
              <w:t xml:space="preserve"> </w:t>
            </w:r>
            <w:r>
              <w:rPr>
                <w:rFonts w:ascii="华文楷体" w:eastAsia="华文楷体" w:hAnsi="华文楷体" w:cs="宋体"/>
                <w:color w:val="FF0000"/>
                <w:sz w:val="18"/>
                <w:szCs w:val="18"/>
              </w:rPr>
              <w:t xml:space="preserve"> </w:t>
            </w:r>
            <w:r>
              <w:rPr>
                <w:rFonts w:ascii="华文楷体" w:eastAsia="华文楷体" w:hAnsi="华文楷体" w:cs="宋体" w:hint="eastAsia"/>
                <w:color w:val="FF0000"/>
                <w:sz w:val="18"/>
                <w:szCs w:val="18"/>
              </w:rPr>
              <w:t>，测试元素2</w:t>
            </w:r>
            <w:r>
              <w:rPr>
                <w:rFonts w:ascii="华文楷体" w:eastAsia="华文楷体" w:hAnsi="华文楷体" w:cs="宋体"/>
                <w:color w:val="FF0000"/>
                <w:sz w:val="18"/>
                <w:szCs w:val="18"/>
              </w:rPr>
              <w:t xml:space="preserve"> </w:t>
            </w:r>
            <w:r>
              <w:rPr>
                <w:rFonts w:ascii="华文楷体" w:eastAsia="华文楷体" w:hAnsi="华文楷体" w:cs="宋体"/>
                <w:color w:val="FF0000"/>
                <w:sz w:val="18"/>
                <w:szCs w:val="18"/>
                <w:u w:val="single"/>
              </w:rPr>
              <w:t xml:space="preserve">       </w:t>
            </w:r>
            <w:r>
              <w:rPr>
                <w:rFonts w:ascii="华文楷体" w:eastAsia="华文楷体" w:hAnsi="华文楷体" w:cs="宋体" w:hint="eastAsia"/>
                <w:color w:val="FF0000"/>
                <w:sz w:val="18"/>
                <w:szCs w:val="18"/>
              </w:rPr>
              <w:t>大致含量范围</w:t>
            </w:r>
            <w:r>
              <w:rPr>
                <w:rFonts w:ascii="华文楷体" w:eastAsia="华文楷体" w:hAnsi="华文楷体" w:cs="宋体" w:hint="eastAsia"/>
                <w:color w:val="FF0000"/>
                <w:sz w:val="18"/>
                <w:szCs w:val="18"/>
                <w:u w:val="single"/>
              </w:rPr>
              <w:t xml:space="preserve"> </w:t>
            </w:r>
            <w:r>
              <w:rPr>
                <w:rFonts w:ascii="华文楷体" w:eastAsia="华文楷体" w:hAnsi="华文楷体" w:cs="宋体"/>
                <w:color w:val="FF0000"/>
                <w:sz w:val="18"/>
                <w:szCs w:val="18"/>
                <w:u w:val="single"/>
              </w:rPr>
              <w:t xml:space="preserve">       </w:t>
            </w:r>
            <w:r>
              <w:rPr>
                <w:rFonts w:ascii="华文楷体" w:eastAsia="华文楷体" w:hAnsi="华文楷体" w:cs="宋体" w:hint="eastAsia"/>
                <w:color w:val="FF0000"/>
                <w:sz w:val="18"/>
                <w:szCs w:val="18"/>
                <w:u w:val="single"/>
              </w:rPr>
              <w:t xml:space="preserve"> </w:t>
            </w:r>
            <w:r>
              <w:rPr>
                <w:rFonts w:ascii="华文楷体" w:eastAsia="华文楷体" w:hAnsi="华文楷体" w:cs="宋体"/>
                <w:color w:val="FF0000"/>
                <w:sz w:val="18"/>
                <w:szCs w:val="18"/>
                <w:u w:val="single"/>
              </w:rPr>
              <w:t xml:space="preserve"> </w:t>
            </w:r>
            <w:r>
              <w:rPr>
                <w:rFonts w:ascii="华文楷体" w:eastAsia="华文楷体" w:hAnsi="华文楷体" w:cs="宋体"/>
                <w:color w:val="FF0000"/>
                <w:sz w:val="18"/>
                <w:szCs w:val="18"/>
              </w:rPr>
              <w:t xml:space="preserve">   </w:t>
            </w:r>
          </w:p>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测试元素</w:t>
            </w:r>
            <w:r>
              <w:rPr>
                <w:rFonts w:ascii="华文楷体" w:eastAsia="华文楷体" w:hAnsi="华文楷体" w:cs="宋体"/>
                <w:color w:val="FF0000"/>
                <w:sz w:val="18"/>
                <w:szCs w:val="18"/>
              </w:rPr>
              <w:t>3</w:t>
            </w:r>
            <w:r>
              <w:rPr>
                <w:rFonts w:ascii="华文楷体" w:eastAsia="华文楷体" w:hAnsi="华文楷体" w:cs="宋体"/>
                <w:color w:val="FF0000"/>
                <w:sz w:val="18"/>
                <w:szCs w:val="18"/>
                <w:u w:val="single"/>
              </w:rPr>
              <w:t xml:space="preserve">       </w:t>
            </w:r>
            <w:r>
              <w:rPr>
                <w:rFonts w:ascii="华文楷体" w:eastAsia="华文楷体" w:hAnsi="华文楷体" w:cs="宋体" w:hint="eastAsia"/>
                <w:color w:val="FF0000"/>
                <w:sz w:val="18"/>
                <w:szCs w:val="18"/>
              </w:rPr>
              <w:t>大致含量范围</w:t>
            </w:r>
            <w:r>
              <w:rPr>
                <w:rFonts w:ascii="华文楷体" w:eastAsia="华文楷体" w:hAnsi="华文楷体" w:cs="宋体" w:hint="eastAsia"/>
                <w:color w:val="FF0000"/>
                <w:sz w:val="18"/>
                <w:szCs w:val="18"/>
                <w:u w:val="single"/>
              </w:rPr>
              <w:t xml:space="preserve"> </w:t>
            </w:r>
            <w:r>
              <w:rPr>
                <w:rFonts w:ascii="华文楷体" w:eastAsia="华文楷体" w:hAnsi="华文楷体" w:cs="宋体"/>
                <w:color w:val="FF0000"/>
                <w:sz w:val="18"/>
                <w:szCs w:val="18"/>
                <w:u w:val="single"/>
              </w:rPr>
              <w:t xml:space="preserve">       </w:t>
            </w:r>
            <w:r>
              <w:rPr>
                <w:rFonts w:ascii="华文楷体" w:eastAsia="华文楷体" w:hAnsi="华文楷体" w:cs="宋体" w:hint="eastAsia"/>
                <w:color w:val="FF0000"/>
                <w:sz w:val="18"/>
                <w:szCs w:val="18"/>
                <w:u w:val="single"/>
              </w:rPr>
              <w:t xml:space="preserve"> </w:t>
            </w:r>
            <w:r>
              <w:rPr>
                <w:rFonts w:ascii="华文楷体" w:eastAsia="华文楷体" w:hAnsi="华文楷体" w:cs="宋体"/>
                <w:color w:val="FF0000"/>
                <w:sz w:val="18"/>
                <w:szCs w:val="18"/>
                <w:u w:val="single"/>
              </w:rPr>
              <w:t xml:space="preserve"> </w:t>
            </w:r>
            <w:r>
              <w:rPr>
                <w:rFonts w:ascii="华文楷体" w:eastAsia="华文楷体" w:hAnsi="华文楷体" w:cs="宋体"/>
                <w:color w:val="FF0000"/>
                <w:sz w:val="18"/>
                <w:szCs w:val="18"/>
              </w:rPr>
              <w:t xml:space="preserve"> </w:t>
            </w:r>
            <w:r>
              <w:rPr>
                <w:rFonts w:ascii="华文楷体" w:eastAsia="华文楷体" w:hAnsi="华文楷体" w:cs="宋体" w:hint="eastAsia"/>
                <w:color w:val="FF0000"/>
                <w:sz w:val="18"/>
                <w:szCs w:val="18"/>
              </w:rPr>
              <w:t>，测试元素</w:t>
            </w:r>
            <w:r>
              <w:rPr>
                <w:rFonts w:ascii="华文楷体" w:eastAsia="华文楷体" w:hAnsi="华文楷体" w:cs="宋体"/>
                <w:color w:val="FF0000"/>
                <w:sz w:val="18"/>
                <w:szCs w:val="18"/>
              </w:rPr>
              <w:t xml:space="preserve">4 </w:t>
            </w:r>
            <w:r>
              <w:rPr>
                <w:rFonts w:ascii="华文楷体" w:eastAsia="华文楷体" w:hAnsi="华文楷体" w:cs="宋体"/>
                <w:color w:val="FF0000"/>
                <w:sz w:val="18"/>
                <w:szCs w:val="18"/>
                <w:u w:val="single"/>
              </w:rPr>
              <w:t xml:space="preserve">       </w:t>
            </w:r>
            <w:r>
              <w:rPr>
                <w:rFonts w:ascii="华文楷体" w:eastAsia="华文楷体" w:hAnsi="华文楷体" w:cs="宋体" w:hint="eastAsia"/>
                <w:color w:val="FF0000"/>
                <w:sz w:val="18"/>
                <w:szCs w:val="18"/>
              </w:rPr>
              <w:t>大致含量范围</w:t>
            </w:r>
            <w:r>
              <w:rPr>
                <w:rFonts w:ascii="华文楷体" w:eastAsia="华文楷体" w:hAnsi="华文楷体" w:cs="宋体" w:hint="eastAsia"/>
                <w:color w:val="FF0000"/>
                <w:sz w:val="18"/>
                <w:szCs w:val="18"/>
                <w:u w:val="single"/>
              </w:rPr>
              <w:t xml:space="preserve"> </w:t>
            </w:r>
            <w:r>
              <w:rPr>
                <w:rFonts w:ascii="华文楷体" w:eastAsia="华文楷体" w:hAnsi="华文楷体" w:cs="宋体"/>
                <w:color w:val="FF0000"/>
                <w:sz w:val="18"/>
                <w:szCs w:val="18"/>
                <w:u w:val="single"/>
              </w:rPr>
              <w:t xml:space="preserve">       </w:t>
            </w:r>
            <w:r>
              <w:rPr>
                <w:rFonts w:ascii="华文楷体" w:eastAsia="华文楷体" w:hAnsi="华文楷体" w:cs="宋体" w:hint="eastAsia"/>
                <w:color w:val="FF0000"/>
                <w:sz w:val="18"/>
                <w:szCs w:val="18"/>
                <w:u w:val="single"/>
              </w:rPr>
              <w:t xml:space="preserve"> </w:t>
            </w:r>
            <w:r>
              <w:rPr>
                <w:rFonts w:ascii="华文楷体" w:eastAsia="华文楷体" w:hAnsi="华文楷体" w:cs="宋体"/>
                <w:color w:val="FF0000"/>
                <w:sz w:val="18"/>
                <w:szCs w:val="18"/>
                <w:u w:val="single"/>
              </w:rPr>
              <w:t xml:space="preserve"> </w:t>
            </w:r>
            <w:r>
              <w:rPr>
                <w:rFonts w:ascii="华文楷体" w:eastAsia="华文楷体" w:hAnsi="华文楷体" w:cs="宋体"/>
                <w:color w:val="FF0000"/>
                <w:sz w:val="18"/>
                <w:szCs w:val="18"/>
              </w:rPr>
              <w:t xml:space="preserve">     </w:t>
            </w:r>
          </w:p>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color w:val="FF0000"/>
                <w:sz w:val="18"/>
                <w:szCs w:val="18"/>
              </w:rPr>
              <w:t>……</w:t>
            </w:r>
          </w:p>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（全元素测试可不填写）</w:t>
            </w:r>
          </w:p>
        </w:tc>
      </w:tr>
      <w:tr>
        <w:trPr>
          <w:trHeight w:val="1148"/>
        </w:trPr>
        <w:tc>
          <w:tcPr>
            <w:tcW w:w="141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备注</w:t>
            </w:r>
          </w:p>
        </w:tc>
        <w:tc>
          <w:tcPr>
            <w:tcW w:w="8930" w:type="dxa"/>
            <w:gridSpan w:val="3"/>
          </w:tcPr>
          <w:p>
            <w:pPr>
              <w:adjustRightInd w:val="0"/>
              <w:snapToGrid w:val="0"/>
              <w:spacing w:line="360"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如有其他要求请注明</w:t>
            </w: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decimal"/>
      <w:lvlText w:val="%2）"/>
      <w:lvlJc w:val="left"/>
      <w:pPr>
        <w:ind w:left="780" w:hanging="360"/>
      </w:pPr>
      <w:rPr>
        <w:rFonts w:hint="default"/>
        <w:b w:val="0"/>
        <w:color w:val="000000" w:themeColor="text1"/>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F1425F1"/>
    <w:multiLevelType w:val="multilevel"/>
    <w:tmpl w:val="0F1425F1"/>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427A71A0"/>
    <w:multiLevelType w:val="multilevel"/>
    <w:tmpl w:val="427A71A0"/>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AD94B71E-9C68-4501-ACF8-51E06E49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paragraph" w:styleId="ac">
    <w:name w:val="annotation subject"/>
    <w:basedOn w:val="a3"/>
    <w:next w:val="a3"/>
    <w:link w:val="ad"/>
    <w:uiPriority w:val="99"/>
    <w:semiHidden/>
    <w:unhideWhenUsed/>
    <w:rPr>
      <w:b/>
      <w:bCs/>
    </w:rPr>
  </w:style>
  <w:style w:type="character" w:styleId="ae">
    <w:name w:val="Strong"/>
    <w:basedOn w:val="a0"/>
    <w:uiPriority w:val="22"/>
    <w:qFormat/>
    <w:rPr>
      <w:b/>
    </w:rPr>
  </w:style>
  <w:style w:type="character" w:styleId="af">
    <w:name w:val="Emphasis"/>
    <w:basedOn w:val="a0"/>
    <w:uiPriority w:val="20"/>
    <w:qFormat/>
    <w:rPr>
      <w:i/>
      <w:iCs/>
    </w:rPr>
  </w:style>
  <w:style w:type="character" w:styleId="af0">
    <w:name w:val="Hyperlink"/>
    <w:qFormat/>
    <w:rPr>
      <w:color w:val="0000FF"/>
      <w:u w:val="single"/>
    </w:rPr>
  </w:style>
  <w:style w:type="character" w:styleId="af1">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2">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 w:type="character" w:customStyle="1" w:styleId="ad">
    <w:name w:val="批注主题 字符"/>
    <w:basedOn w:val="a4"/>
    <w:link w:val="ac"/>
    <w:uiPriority w:val="99"/>
    <w:semiHidden/>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31FF43-DC61-45D0-BAA0-43767F8D4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280</Words>
  <Characters>1599</Characters>
  <Application>Microsoft Office Word</Application>
  <DocSecurity>0</DocSecurity>
  <Lines>13</Lines>
  <Paragraphs>3</Paragraphs>
  <ScaleCrop>false</ScaleCrop>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94</cp:revision>
  <cp:lastPrinted>2019-01-16T08:10:00Z</cp:lastPrinted>
  <dcterms:created xsi:type="dcterms:W3CDTF">2017-04-04T08:33:00Z</dcterms:created>
  <dcterms:modified xsi:type="dcterms:W3CDTF">2024-08-30T03:08:00Z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