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360"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b"/>
        <w:shd w:val="clear" w:color="auto" w:fill="FFFFFF"/>
        <w:spacing w:before="0" w:beforeAutospacing="0" w:after="0" w:afterAutospacing="0" w:line="276" w:lineRule="auto"/>
        <w:ind w:left="420" w:firstLineChars="200" w:firstLine="360"/>
        <w:rPr>
          <w:sz w:val="18"/>
          <w:szCs w:val="21"/>
        </w:rPr>
      </w:pPr>
      <w:r>
        <w:rPr>
          <w:rStyle w:val="fontstyle0"/>
          <w:rFonts w:hint="eastAsia"/>
          <w:sz w:val="18"/>
          <w:szCs w:val="21"/>
        </w:rPr>
        <w:t>低场磁共振是以</w:t>
      </w:r>
      <w:r>
        <w:rPr>
          <w:rStyle w:val="fontstyle1"/>
          <w:rFonts w:hint="eastAsia"/>
          <w:sz w:val="18"/>
          <w:szCs w:val="21"/>
        </w:rPr>
        <w:t>H</w:t>
      </w:r>
      <w:r>
        <w:rPr>
          <w:rStyle w:val="fontstyle0"/>
          <w:rFonts w:hint="eastAsia"/>
          <w:sz w:val="18"/>
          <w:szCs w:val="21"/>
        </w:rPr>
        <w:t>原子为主要探究对象， 通过</w:t>
      </w:r>
      <w:r>
        <w:rPr>
          <w:rStyle w:val="fontstyle1"/>
          <w:rFonts w:hint="eastAsia"/>
          <w:sz w:val="18"/>
          <w:szCs w:val="21"/>
        </w:rPr>
        <w:t>H</w:t>
      </w:r>
      <w:r>
        <w:rPr>
          <w:rStyle w:val="fontstyle0"/>
          <w:rFonts w:hint="eastAsia"/>
          <w:sz w:val="18"/>
          <w:szCs w:val="21"/>
        </w:rPr>
        <w:t xml:space="preserve">原子运动性的分析， 广泛的探究自然界中与水、 油、 </w:t>
      </w:r>
      <w:proofErr w:type="gramStart"/>
      <w:r>
        <w:rPr>
          <w:rStyle w:val="fontstyle0"/>
          <w:rFonts w:hint="eastAsia"/>
          <w:sz w:val="18"/>
          <w:szCs w:val="21"/>
        </w:rPr>
        <w:t>孔相关</w:t>
      </w:r>
      <w:proofErr w:type="gramEnd"/>
      <w:r>
        <w:rPr>
          <w:rStyle w:val="fontstyle0"/>
          <w:rFonts w:hint="eastAsia"/>
          <w:sz w:val="18"/>
          <w:szCs w:val="21"/>
        </w:rPr>
        <w:t>的物质性能。</w:t>
      </w:r>
      <w:r>
        <w:rPr>
          <w:rFonts w:hint="eastAsia"/>
          <w:sz w:val="18"/>
          <w:szCs w:val="21"/>
        </w:rPr>
        <w:t> </w:t>
      </w:r>
    </w:p>
    <w:p>
      <w:pPr>
        <w:pStyle w:val="ab"/>
        <w:shd w:val="clear" w:color="auto" w:fill="FFFFFF"/>
        <w:spacing w:before="0" w:beforeAutospacing="0" w:after="0" w:afterAutospacing="0" w:line="276" w:lineRule="auto"/>
        <w:ind w:left="840"/>
        <w:rPr>
          <w:bCs/>
          <w:kern w:val="2"/>
          <w:sz w:val="18"/>
          <w:szCs w:val="21"/>
        </w:rPr>
      </w:pPr>
      <w:r>
        <w:rPr>
          <w:rFonts w:hint="eastAsia"/>
          <w:sz w:val="18"/>
          <w:szCs w:val="21"/>
        </w:rPr>
        <w:t>样品要求：</w:t>
      </w:r>
      <w:r>
        <w:rPr>
          <w:rFonts w:hint="eastAsia"/>
          <w:sz w:val="18"/>
          <w:szCs w:val="21"/>
        </w:rPr>
        <w:br/>
      </w:r>
      <w:r>
        <w:rPr>
          <w:rFonts w:hint="eastAsia"/>
          <w:bCs/>
          <w:kern w:val="2"/>
          <w:sz w:val="18"/>
          <w:szCs w:val="21"/>
        </w:rPr>
        <w:t>a、新鲜样品需密封好邮寄过程放冰袋防止水分散失。</w:t>
      </w:r>
      <w:r>
        <w:rPr>
          <w:rFonts w:hint="eastAsia"/>
          <w:bCs/>
          <w:kern w:val="2"/>
          <w:sz w:val="18"/>
          <w:szCs w:val="21"/>
        </w:rPr>
        <w:br/>
        <w:t>b、交联密度测试：测试前需要提供样品的玻璃化转变温度及样品密度，样品量2g以上。</w:t>
      </w:r>
      <w:r>
        <w:rPr>
          <w:rFonts w:hint="eastAsia"/>
          <w:bCs/>
          <w:kern w:val="2"/>
          <w:sz w:val="18"/>
          <w:szCs w:val="21"/>
        </w:rPr>
        <w:br/>
        <w:t>c、岩石类测试具体项目具体沟通。</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低场核磁测试要求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0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化学成份</w:t>
            </w:r>
          </w:p>
        </w:tc>
        <w:tc>
          <w:tcPr>
            <w:tcW w:w="8930" w:type="dxa"/>
            <w:gridSpan w:val="3"/>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 xml:space="preserve">注：不同测试仪器之间可能存在差别，数据形式和效果存在差异，如对数据有一致性要求，请务必提前写清。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T2</w:t>
            </w:r>
            <w:r>
              <w:rPr>
                <w:rFonts w:ascii="华文楷体" w:eastAsia="华文楷体" w:hAnsi="华文楷体" w:cs="宋体" w:hint="eastAsia"/>
                <w:sz w:val="18"/>
                <w:szCs w:val="18"/>
              </w:rPr>
              <w:t xml:space="preserve">谱 </w:t>
            </w:r>
            <w:r>
              <w:rPr>
                <w:rFonts w:ascii="华文楷体" w:eastAsia="华文楷体" w:hAnsi="华文楷体" w:cs="宋体"/>
                <w:sz w:val="18"/>
                <w:szCs w:val="18"/>
              </w:rPr>
              <w:t xml:space="preserve">          </w:t>
            </w:r>
            <w:r>
              <w:rPr>
                <w:rFonts w:ascii="华文楷体" w:eastAsia="华文楷体" w:hAnsi="华文楷体" w:cs="宋体" w:hint="eastAsia"/>
                <w:sz w:val="18"/>
                <w:szCs w:val="18"/>
              </w:rPr>
              <w:t>□T</w:t>
            </w:r>
            <w:r>
              <w:rPr>
                <w:rFonts w:ascii="华文楷体" w:eastAsia="华文楷体" w:hAnsi="华文楷体" w:cs="宋体"/>
                <w:sz w:val="18"/>
                <w:szCs w:val="18"/>
              </w:rPr>
              <w:t>2+</w:t>
            </w:r>
            <w:r>
              <w:rPr>
                <w:rFonts w:ascii="华文楷体" w:eastAsia="华文楷体" w:hAnsi="华文楷体" w:cs="宋体" w:hint="eastAsia"/>
                <w:sz w:val="18"/>
                <w:szCs w:val="18"/>
              </w:rPr>
              <w:t xml:space="preserve">孔隙度、孔径分布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□交联密度 </w:t>
            </w:r>
            <w:r>
              <w:rPr>
                <w:rFonts w:ascii="华文楷体" w:eastAsia="华文楷体" w:hAnsi="华文楷体" w:cs="宋体"/>
                <w:sz w:val="18"/>
                <w:szCs w:val="18"/>
              </w:rPr>
              <w:t xml:space="preserve">             </w:t>
            </w:r>
            <w:r>
              <w:rPr>
                <w:rFonts w:ascii="华文楷体" w:eastAsia="华文楷体" w:hAnsi="华文楷体" w:cs="宋体" w:hint="eastAsia"/>
                <w:sz w:val="18"/>
                <w:szCs w:val="18"/>
              </w:rPr>
              <w:t>□T</w:t>
            </w:r>
            <w:r>
              <w:rPr>
                <w:rFonts w:ascii="华文楷体" w:eastAsia="华文楷体" w:hAnsi="华文楷体" w:cs="宋体"/>
                <w:sz w:val="18"/>
                <w:szCs w:val="18"/>
              </w:rPr>
              <w:t>1</w:t>
            </w:r>
            <w:r>
              <w:rPr>
                <w:rFonts w:ascii="华文楷体" w:eastAsia="华文楷体" w:hAnsi="华文楷体" w:cs="宋体" w:hint="eastAsia"/>
                <w:sz w:val="18"/>
                <w:szCs w:val="18"/>
              </w:rPr>
              <w:t>谱</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（请</w:t>
            </w:r>
            <w:proofErr w:type="gramStart"/>
            <w:r>
              <w:rPr>
                <w:rFonts w:ascii="华文楷体" w:eastAsia="华文楷体" w:hAnsi="华文楷体" w:cs="宋体" w:hint="eastAsia"/>
                <w:sz w:val="18"/>
                <w:szCs w:val="18"/>
              </w:rPr>
              <w:t>提前跟</w:t>
            </w:r>
            <w:proofErr w:type="gramEnd"/>
            <w:r>
              <w:rPr>
                <w:rFonts w:ascii="华文楷体" w:eastAsia="华文楷体" w:hAnsi="华文楷体" w:cs="宋体" w:hint="eastAsia"/>
                <w:sz w:val="18"/>
                <w:szCs w:val="18"/>
              </w:rPr>
              <w:t>我们确认可以测试之后再送样）</w:t>
            </w:r>
          </w:p>
        </w:tc>
      </w:tr>
      <w:tr>
        <w:trPr>
          <w:trHeight w:val="205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6D331237-98B5-4BDA-804C-29E5AC87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character" w:customStyle="1" w:styleId="fontstyle0">
    <w:name w:val="fontstyle0"/>
    <w:basedOn w:val="a0"/>
  </w:style>
  <w:style w:type="character" w:customStyle="1" w:styleId="fontstyle1">
    <w:name w:val="fontstyle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619C2-3E3A-41BA-98B6-C364D8C2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